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D8B" w:rsidRPr="0052430E" w:rsidRDefault="00D91D8B" w:rsidP="00D91D8B">
      <w:pPr>
        <w:jc w:val="center"/>
        <w:rPr>
          <w:rFonts w:ascii="Arial" w:hAnsi="Arial" w:cs="Arial"/>
          <w:b/>
          <w:sz w:val="28"/>
          <w:szCs w:val="28"/>
          <w:lang w:val="es-CO"/>
        </w:rPr>
      </w:pPr>
      <w:r w:rsidRPr="0052430E">
        <w:rPr>
          <w:rFonts w:ascii="Arial" w:hAnsi="Arial" w:cs="Arial"/>
          <w:b/>
          <w:sz w:val="28"/>
          <w:szCs w:val="28"/>
          <w:lang w:val="es-CO"/>
        </w:rPr>
        <w:t>PRIORIZACIÓN DE VARIABLES EN EL DISEÑO DE UN SISTEMA DE GESTIÓN INTEGRAL DE LA DESERCIÓN ESTUDIANTIL</w:t>
      </w:r>
    </w:p>
    <w:p w:rsidR="00D91D8B" w:rsidRPr="0052430E" w:rsidRDefault="00D91D8B" w:rsidP="00D91D8B">
      <w:pPr>
        <w:jc w:val="center"/>
        <w:rPr>
          <w:rFonts w:ascii="Arial" w:hAnsi="Arial" w:cs="Arial"/>
          <w:b/>
          <w:sz w:val="20"/>
          <w:szCs w:val="20"/>
          <w:lang w:val="es-CO"/>
        </w:rPr>
      </w:pPr>
    </w:p>
    <w:p w:rsidR="00D91D8B" w:rsidRPr="0052430E" w:rsidRDefault="00D91D8B" w:rsidP="00D91D8B">
      <w:pPr>
        <w:jc w:val="center"/>
        <w:rPr>
          <w:rFonts w:ascii="Arial" w:hAnsi="Arial" w:cs="Arial"/>
          <w:b/>
          <w:sz w:val="28"/>
          <w:szCs w:val="28"/>
          <w:lang w:val="en-US"/>
        </w:rPr>
      </w:pPr>
      <w:r w:rsidRPr="0052430E">
        <w:rPr>
          <w:rFonts w:ascii="Arial" w:hAnsi="Arial" w:cs="Arial"/>
          <w:b/>
          <w:sz w:val="28"/>
          <w:szCs w:val="28"/>
          <w:lang w:val="en-US"/>
        </w:rPr>
        <w:t xml:space="preserve">Identifying the most relevant causes of student dropout as basis of an Educational Management </w:t>
      </w:r>
      <w:r w:rsidR="00D86DAC" w:rsidRPr="0052430E">
        <w:rPr>
          <w:rFonts w:ascii="Arial" w:hAnsi="Arial" w:cs="Arial"/>
          <w:b/>
          <w:noProof/>
          <w:sz w:val="28"/>
          <w:szCs w:val="28"/>
          <w:lang w:val="en-US"/>
        </w:rPr>
        <w:t>S</w:t>
      </w:r>
      <w:r w:rsidRPr="0052430E">
        <w:rPr>
          <w:rFonts w:ascii="Arial" w:hAnsi="Arial" w:cs="Arial"/>
          <w:b/>
          <w:noProof/>
          <w:sz w:val="28"/>
          <w:szCs w:val="28"/>
          <w:lang w:val="en-US"/>
        </w:rPr>
        <w:t>ystems</w:t>
      </w:r>
    </w:p>
    <w:p w:rsidR="00D91D8B" w:rsidRPr="0052430E" w:rsidRDefault="00D91D8B" w:rsidP="00D91D8B">
      <w:pPr>
        <w:jc w:val="both"/>
        <w:rPr>
          <w:rFonts w:ascii="Arial" w:hAnsi="Arial" w:cs="Arial"/>
          <w:sz w:val="22"/>
          <w:szCs w:val="22"/>
          <w:lang w:val="en-US"/>
        </w:rPr>
      </w:pPr>
    </w:p>
    <w:p w:rsidR="00D91D8B" w:rsidRPr="0052430E" w:rsidRDefault="00D91D8B" w:rsidP="00D91D8B">
      <w:pPr>
        <w:pStyle w:val="Subttulo"/>
        <w:spacing w:after="0"/>
        <w:jc w:val="both"/>
        <w:rPr>
          <w:rFonts w:ascii="Arial" w:hAnsi="Arial" w:cs="Arial"/>
          <w:b/>
          <w:sz w:val="22"/>
          <w:szCs w:val="22"/>
          <w:lang w:val="pt-BR"/>
        </w:rPr>
      </w:pPr>
    </w:p>
    <w:p w:rsidR="00D91D8B" w:rsidRPr="0052430E" w:rsidRDefault="00D91D8B" w:rsidP="006F1EB6">
      <w:pPr>
        <w:pStyle w:val="Subttulo"/>
        <w:spacing w:after="0"/>
        <w:rPr>
          <w:rFonts w:ascii="Arial" w:hAnsi="Arial" w:cs="Arial"/>
          <w:b/>
          <w:sz w:val="22"/>
          <w:szCs w:val="22"/>
        </w:rPr>
      </w:pPr>
      <w:r w:rsidRPr="0052430E">
        <w:rPr>
          <w:rFonts w:ascii="Arial" w:hAnsi="Arial" w:cs="Arial"/>
          <w:b/>
          <w:sz w:val="22"/>
          <w:szCs w:val="22"/>
          <w:lang w:val="pt-BR"/>
        </w:rPr>
        <w:t xml:space="preserve">Paola Andrea Chinome </w:t>
      </w:r>
      <w:r w:rsidRPr="0052430E">
        <w:rPr>
          <w:rFonts w:ascii="Arial" w:hAnsi="Arial" w:cs="Arial"/>
          <w:b/>
          <w:sz w:val="22"/>
          <w:szCs w:val="22"/>
          <w:lang w:val="es-CO"/>
        </w:rPr>
        <w:t>Becerra</w:t>
      </w:r>
    </w:p>
    <w:p w:rsidR="00D91D8B" w:rsidRPr="0052430E" w:rsidRDefault="00D91D8B" w:rsidP="006F1EB6">
      <w:pPr>
        <w:jc w:val="center"/>
        <w:rPr>
          <w:rFonts w:ascii="Arial" w:hAnsi="Arial" w:cs="Arial"/>
          <w:b/>
          <w:sz w:val="22"/>
          <w:szCs w:val="22"/>
          <w:lang w:val="pt-BR"/>
        </w:rPr>
      </w:pPr>
      <w:r w:rsidRPr="0052430E">
        <w:rPr>
          <w:rFonts w:ascii="Arial" w:hAnsi="Arial" w:cs="Arial"/>
          <w:sz w:val="22"/>
          <w:szCs w:val="22"/>
        </w:rPr>
        <w:t>Universidad Pedagógica y Tecnológica de Colombia</w:t>
      </w:r>
    </w:p>
    <w:p w:rsidR="004C2A7E" w:rsidRDefault="004C2A7E" w:rsidP="006F1EB6">
      <w:pPr>
        <w:pStyle w:val="Subttulo"/>
        <w:spacing w:after="0"/>
        <w:rPr>
          <w:rFonts w:ascii="Arial" w:hAnsi="Arial" w:cs="Arial"/>
          <w:b/>
          <w:sz w:val="22"/>
          <w:szCs w:val="22"/>
          <w:lang w:val="pt-BR"/>
        </w:rPr>
      </w:pPr>
    </w:p>
    <w:p w:rsidR="00D91D8B" w:rsidRPr="0052430E" w:rsidRDefault="00D91D8B" w:rsidP="006F1EB6">
      <w:pPr>
        <w:pStyle w:val="Subttulo"/>
        <w:spacing w:after="0"/>
        <w:rPr>
          <w:rFonts w:ascii="Arial" w:hAnsi="Arial" w:cs="Arial"/>
          <w:b/>
          <w:sz w:val="22"/>
          <w:szCs w:val="22"/>
          <w:lang w:val="pt-BR"/>
        </w:rPr>
      </w:pPr>
      <w:r w:rsidRPr="0052430E">
        <w:rPr>
          <w:rFonts w:ascii="Arial" w:hAnsi="Arial" w:cs="Arial"/>
          <w:b/>
          <w:sz w:val="22"/>
          <w:szCs w:val="22"/>
          <w:lang w:val="pt-BR"/>
        </w:rPr>
        <w:t>Consuelo Ruiz Cárdenas</w:t>
      </w:r>
    </w:p>
    <w:p w:rsidR="00D91D8B" w:rsidRPr="0052430E" w:rsidRDefault="00D91D8B" w:rsidP="006F1EB6">
      <w:pPr>
        <w:jc w:val="center"/>
        <w:rPr>
          <w:rFonts w:ascii="Arial" w:hAnsi="Arial" w:cs="Arial"/>
          <w:sz w:val="22"/>
          <w:szCs w:val="22"/>
          <w:lang w:val="pt-BR"/>
        </w:rPr>
      </w:pPr>
      <w:r w:rsidRPr="0052430E">
        <w:rPr>
          <w:rFonts w:ascii="Arial" w:hAnsi="Arial" w:cs="Arial"/>
          <w:sz w:val="22"/>
          <w:szCs w:val="22"/>
        </w:rPr>
        <w:t>Universidad Pedagógica y Tecnológica de Colombia</w:t>
      </w:r>
    </w:p>
    <w:p w:rsidR="004C2A7E" w:rsidRDefault="004C2A7E" w:rsidP="006F1EB6">
      <w:pPr>
        <w:pStyle w:val="Subttulo"/>
        <w:spacing w:after="0"/>
        <w:rPr>
          <w:rFonts w:ascii="Arial" w:hAnsi="Arial" w:cs="Arial"/>
          <w:b/>
          <w:sz w:val="22"/>
          <w:szCs w:val="22"/>
          <w:lang w:val="pt-BR"/>
        </w:rPr>
      </w:pPr>
    </w:p>
    <w:p w:rsidR="00D91D8B" w:rsidRPr="0052430E" w:rsidRDefault="00D91D8B" w:rsidP="006F1EB6">
      <w:pPr>
        <w:pStyle w:val="Subttulo"/>
        <w:spacing w:after="0"/>
        <w:rPr>
          <w:rFonts w:ascii="Arial" w:hAnsi="Arial" w:cs="Arial"/>
          <w:b/>
          <w:sz w:val="22"/>
          <w:szCs w:val="22"/>
          <w:lang w:val="pt-BR"/>
        </w:rPr>
      </w:pPr>
      <w:r w:rsidRPr="0052430E">
        <w:rPr>
          <w:rFonts w:ascii="Arial" w:hAnsi="Arial" w:cs="Arial"/>
          <w:b/>
          <w:sz w:val="22"/>
          <w:szCs w:val="22"/>
          <w:lang w:val="pt-BR"/>
        </w:rPr>
        <w:t>Liliana Fernández Samacá</w:t>
      </w:r>
    </w:p>
    <w:p w:rsidR="00D91D8B" w:rsidRPr="0052430E" w:rsidRDefault="00D91D8B" w:rsidP="006F1EB6">
      <w:pPr>
        <w:jc w:val="center"/>
        <w:rPr>
          <w:rFonts w:ascii="Arial" w:hAnsi="Arial" w:cs="Arial"/>
          <w:sz w:val="22"/>
          <w:szCs w:val="22"/>
        </w:rPr>
      </w:pPr>
      <w:r w:rsidRPr="0052430E">
        <w:rPr>
          <w:rFonts w:ascii="Arial" w:hAnsi="Arial" w:cs="Arial"/>
          <w:sz w:val="22"/>
          <w:szCs w:val="22"/>
        </w:rPr>
        <w:t>Universidad Pedagógica y Tecnológica de Colombia</w:t>
      </w:r>
    </w:p>
    <w:p w:rsidR="00D91D8B" w:rsidRPr="0052430E" w:rsidRDefault="00D91D8B" w:rsidP="00D91D8B">
      <w:pPr>
        <w:jc w:val="both"/>
        <w:rPr>
          <w:rFonts w:ascii="Arial" w:hAnsi="Arial" w:cs="Arial"/>
          <w:sz w:val="20"/>
          <w:szCs w:val="20"/>
          <w:lang w:val="pt-BR"/>
        </w:rPr>
      </w:pPr>
    </w:p>
    <w:p w:rsidR="00D91D8B" w:rsidRDefault="00D91D8B" w:rsidP="00D91D8B">
      <w:pPr>
        <w:jc w:val="both"/>
        <w:rPr>
          <w:rFonts w:ascii="Arial" w:hAnsi="Arial" w:cs="Arial"/>
          <w:b/>
          <w:bCs/>
          <w:sz w:val="22"/>
          <w:szCs w:val="22"/>
        </w:rPr>
      </w:pPr>
      <w:r w:rsidRPr="0052430E">
        <w:rPr>
          <w:rFonts w:ascii="Arial" w:hAnsi="Arial" w:cs="Arial"/>
          <w:b/>
          <w:bCs/>
          <w:sz w:val="22"/>
          <w:szCs w:val="22"/>
        </w:rPr>
        <w:t>Resumen</w:t>
      </w:r>
    </w:p>
    <w:p w:rsidR="00854534" w:rsidRPr="00854534" w:rsidRDefault="00854534" w:rsidP="00D91D8B">
      <w:pPr>
        <w:jc w:val="both"/>
        <w:rPr>
          <w:rFonts w:ascii="Arial" w:hAnsi="Arial" w:cs="Arial"/>
          <w:b/>
          <w:bCs/>
          <w:sz w:val="16"/>
          <w:szCs w:val="16"/>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Este artículo presenta un enfoque para la priorización de las variables consideradas en los estudios de deserción</w:t>
      </w:r>
      <w:r w:rsidR="00731F91">
        <w:rPr>
          <w:rFonts w:ascii="Arial" w:hAnsi="Arial" w:cs="Arial"/>
          <w:sz w:val="22"/>
          <w:szCs w:val="22"/>
        </w:rPr>
        <w:t xml:space="preserve"> estudiantil</w:t>
      </w:r>
      <w:r w:rsidRPr="0052430E">
        <w:rPr>
          <w:rFonts w:ascii="Arial" w:hAnsi="Arial" w:cs="Arial"/>
          <w:sz w:val="22"/>
          <w:szCs w:val="22"/>
        </w:rPr>
        <w:t xml:space="preserve">, como base en el diseño de sistemas de gestión integral de la deserción en programas de Ingeniería. La priorización se fundamenta en una revisión de literatura en la que se incluyen diversos conceptos de deserción, clasificaciones, modelos de análisis, factores asociados y variables. La selección de las variables se realiza utilizando el principio de Pareto, como herramienta para la identificación y priorización. En el artículo la información se clasifica y analiza para servir como insumo en las Organizaciones, Universidades o Instituciones que deseen diseñar un modelo de deserción propio. De la revisión de literatura se observa como los modelos de análisis cambian con el tiempo iniciando </w:t>
      </w:r>
      <w:r w:rsidR="00D86DAC" w:rsidRPr="0052430E">
        <w:rPr>
          <w:rFonts w:ascii="Arial" w:hAnsi="Arial" w:cs="Arial"/>
          <w:sz w:val="22"/>
          <w:szCs w:val="22"/>
        </w:rPr>
        <w:t xml:space="preserve">con </w:t>
      </w:r>
      <w:r w:rsidRPr="0052430E">
        <w:rPr>
          <w:rFonts w:ascii="Arial" w:hAnsi="Arial" w:cs="Arial"/>
          <w:sz w:val="22"/>
          <w:szCs w:val="22"/>
        </w:rPr>
        <w:t>los modelos psicológicos, luego los económicos y organizacionales y finalmente, los modelos de integración y sus diferentes combinaciones. Entre las variables que se  priorizaron a partir del enfoque se destacan</w:t>
      </w:r>
      <w:r w:rsidR="00D86DAC" w:rsidRPr="0052430E">
        <w:rPr>
          <w:rFonts w:ascii="Arial" w:hAnsi="Arial" w:cs="Arial"/>
          <w:sz w:val="22"/>
          <w:szCs w:val="22"/>
        </w:rPr>
        <w:t>,</w:t>
      </w:r>
      <w:r w:rsidRPr="0052430E">
        <w:rPr>
          <w:rFonts w:ascii="Arial" w:hAnsi="Arial" w:cs="Arial"/>
          <w:sz w:val="22"/>
          <w:szCs w:val="22"/>
        </w:rPr>
        <w:t xml:space="preserve"> el género y la estructura familiar, el rendimiento académico,  la satisfacción con el programa (expectativas), la calidad del programa, los recursos universitarios  y las formas de financiamiento.</w:t>
      </w:r>
    </w:p>
    <w:p w:rsidR="00D91D8B" w:rsidRPr="0052430E" w:rsidRDefault="00D91D8B" w:rsidP="00D91D8B">
      <w:pPr>
        <w:pStyle w:val="HTMLconformatoprevio"/>
        <w:shd w:val="clear" w:color="auto" w:fill="FFFFFF"/>
        <w:jc w:val="both"/>
        <w:rPr>
          <w:rFonts w:ascii="Arial" w:hAnsi="Arial" w:cs="Arial"/>
          <w:b/>
          <w:bCs/>
          <w:i/>
          <w:sz w:val="22"/>
          <w:szCs w:val="22"/>
          <w:lang w:val="es-MX"/>
        </w:rPr>
      </w:pPr>
    </w:p>
    <w:p w:rsidR="00D91D8B" w:rsidRPr="0052430E" w:rsidRDefault="00D91D8B" w:rsidP="00D91D8B">
      <w:pPr>
        <w:pStyle w:val="HTMLconformatoprevio"/>
        <w:shd w:val="clear" w:color="auto" w:fill="FFFFFF"/>
        <w:jc w:val="both"/>
        <w:rPr>
          <w:rFonts w:ascii="Arial" w:hAnsi="Arial" w:cs="Arial"/>
          <w:sz w:val="22"/>
          <w:szCs w:val="22"/>
        </w:rPr>
      </w:pPr>
      <w:r w:rsidRPr="0052430E">
        <w:rPr>
          <w:rFonts w:ascii="Arial" w:hAnsi="Arial" w:cs="Arial"/>
          <w:b/>
          <w:bCs/>
          <w:i/>
          <w:sz w:val="22"/>
          <w:szCs w:val="22"/>
          <w:lang w:val="es-MX"/>
        </w:rPr>
        <w:t>Palabras clave</w:t>
      </w:r>
      <w:r w:rsidRPr="0052430E">
        <w:rPr>
          <w:rFonts w:ascii="Arial" w:hAnsi="Arial" w:cs="Arial"/>
          <w:b/>
          <w:i/>
          <w:sz w:val="22"/>
          <w:szCs w:val="22"/>
          <w:lang w:val="es-MX"/>
        </w:rPr>
        <w:t>:</w:t>
      </w:r>
      <w:r w:rsidRPr="0052430E">
        <w:rPr>
          <w:rFonts w:ascii="Arial" w:hAnsi="Arial" w:cs="Arial"/>
          <w:sz w:val="22"/>
          <w:szCs w:val="22"/>
          <w:lang w:val="es-MX"/>
        </w:rPr>
        <w:t xml:space="preserve"> </w:t>
      </w:r>
      <w:r w:rsidRPr="0052430E">
        <w:rPr>
          <w:rFonts w:ascii="Arial" w:hAnsi="Arial" w:cs="Arial"/>
          <w:sz w:val="22"/>
          <w:szCs w:val="22"/>
        </w:rPr>
        <w:t>deserción estudiantil; principio de pareto; sistemas de gestión.</w:t>
      </w:r>
    </w:p>
    <w:p w:rsidR="00D91D8B" w:rsidRPr="0052430E" w:rsidRDefault="00D91D8B" w:rsidP="00D91D8B">
      <w:pPr>
        <w:pStyle w:val="HTMLconformatoprevio"/>
        <w:shd w:val="clear" w:color="auto" w:fill="FFFFFF"/>
        <w:jc w:val="both"/>
        <w:rPr>
          <w:rFonts w:ascii="Arial" w:hAnsi="Arial" w:cs="Arial"/>
          <w:sz w:val="22"/>
          <w:szCs w:val="22"/>
        </w:rPr>
      </w:pPr>
    </w:p>
    <w:p w:rsidR="00D91D8B" w:rsidRPr="0052430E" w:rsidRDefault="00D91D8B" w:rsidP="00D91D8B">
      <w:pPr>
        <w:jc w:val="both"/>
        <w:rPr>
          <w:rFonts w:ascii="Arial" w:hAnsi="Arial" w:cs="Arial"/>
          <w:b/>
          <w:bCs/>
          <w:sz w:val="22"/>
          <w:szCs w:val="22"/>
          <w:lang w:val="en-US"/>
        </w:rPr>
      </w:pPr>
      <w:r w:rsidRPr="0052430E">
        <w:rPr>
          <w:rFonts w:ascii="Arial" w:hAnsi="Arial" w:cs="Arial"/>
          <w:b/>
          <w:bCs/>
          <w:sz w:val="22"/>
          <w:szCs w:val="22"/>
          <w:lang w:val="en-US"/>
        </w:rPr>
        <w:t>Abstract</w:t>
      </w:r>
    </w:p>
    <w:p w:rsidR="00D91D8B" w:rsidRPr="00854534" w:rsidRDefault="00D91D8B" w:rsidP="00D91D8B">
      <w:pPr>
        <w:jc w:val="both"/>
        <w:rPr>
          <w:rFonts w:ascii="Arial" w:hAnsi="Arial" w:cs="Arial"/>
          <w:b/>
          <w:sz w:val="16"/>
          <w:szCs w:val="16"/>
          <w:lang w:val="en-US"/>
        </w:rPr>
      </w:pPr>
    </w:p>
    <w:p w:rsidR="00D91D8B" w:rsidRPr="0052430E" w:rsidRDefault="00D91D8B" w:rsidP="00D91D8B">
      <w:pPr>
        <w:jc w:val="both"/>
        <w:rPr>
          <w:rFonts w:ascii="Arial" w:hAnsi="Arial" w:cs="Arial"/>
          <w:sz w:val="22"/>
          <w:szCs w:val="22"/>
          <w:lang w:val="en-US"/>
        </w:rPr>
      </w:pPr>
      <w:r w:rsidRPr="0052430E">
        <w:rPr>
          <w:rFonts w:ascii="Arial" w:hAnsi="Arial" w:cs="Arial"/>
          <w:sz w:val="22"/>
          <w:szCs w:val="22"/>
          <w:lang w:val="en-US"/>
        </w:rPr>
        <w:t xml:space="preserve">This paper presents an approach to select the most representative variables in </w:t>
      </w:r>
      <w:r w:rsidR="00731F91">
        <w:rPr>
          <w:rFonts w:ascii="Arial" w:hAnsi="Arial" w:cs="Arial"/>
          <w:sz w:val="22"/>
          <w:szCs w:val="22"/>
          <w:lang w:val="en-US"/>
        </w:rPr>
        <w:t xml:space="preserve">student </w:t>
      </w:r>
      <w:r w:rsidRPr="0052430E">
        <w:rPr>
          <w:rFonts w:ascii="Arial" w:hAnsi="Arial" w:cs="Arial"/>
          <w:sz w:val="22"/>
          <w:szCs w:val="22"/>
          <w:lang w:val="en-US"/>
        </w:rPr>
        <w:t>dropout studies as</w:t>
      </w:r>
      <w:r w:rsidR="00D86DAC" w:rsidRPr="0052430E">
        <w:rPr>
          <w:rFonts w:ascii="Arial" w:hAnsi="Arial" w:cs="Arial"/>
          <w:sz w:val="22"/>
          <w:szCs w:val="22"/>
          <w:lang w:val="en-US"/>
        </w:rPr>
        <w:t xml:space="preserve"> a</w:t>
      </w:r>
      <w:r w:rsidRPr="0052430E">
        <w:rPr>
          <w:rFonts w:ascii="Arial" w:hAnsi="Arial" w:cs="Arial"/>
          <w:sz w:val="22"/>
          <w:szCs w:val="22"/>
          <w:lang w:val="en-US"/>
        </w:rPr>
        <w:t xml:space="preserve"> </w:t>
      </w:r>
      <w:r w:rsidRPr="0052430E">
        <w:rPr>
          <w:rFonts w:ascii="Arial" w:hAnsi="Arial" w:cs="Arial"/>
          <w:noProof/>
          <w:sz w:val="22"/>
          <w:szCs w:val="22"/>
          <w:lang w:val="en-US"/>
        </w:rPr>
        <w:t>basis</w:t>
      </w:r>
      <w:r w:rsidRPr="0052430E">
        <w:rPr>
          <w:rFonts w:ascii="Arial" w:hAnsi="Arial" w:cs="Arial"/>
          <w:sz w:val="22"/>
          <w:szCs w:val="22"/>
          <w:lang w:val="en-US"/>
        </w:rPr>
        <w:t xml:space="preserve"> for designing dropout management systems in engineering programs. The approach </w:t>
      </w:r>
      <w:r w:rsidRPr="0052430E">
        <w:rPr>
          <w:rFonts w:ascii="Arial" w:hAnsi="Arial" w:cs="Arial"/>
          <w:noProof/>
          <w:sz w:val="22"/>
          <w:szCs w:val="22"/>
          <w:lang w:val="en-US"/>
        </w:rPr>
        <w:t>is based</w:t>
      </w:r>
      <w:r w:rsidRPr="0052430E">
        <w:rPr>
          <w:rFonts w:ascii="Arial" w:hAnsi="Arial" w:cs="Arial"/>
          <w:sz w:val="22"/>
          <w:szCs w:val="22"/>
          <w:lang w:val="en-US"/>
        </w:rPr>
        <w:t xml:space="preserve"> on a literature review that includes diverse concepts of student dropout, its classifications, analysis models, and factors and variables. Likewise, the approach uses the Pareto principle to identify and prioritize the dropout variables. The information is organized and analyzed to </w:t>
      </w:r>
      <w:r w:rsidRPr="0052430E">
        <w:rPr>
          <w:rFonts w:ascii="Arial" w:hAnsi="Arial" w:cs="Arial"/>
          <w:noProof/>
          <w:sz w:val="22"/>
          <w:szCs w:val="22"/>
          <w:lang w:val="en-US"/>
        </w:rPr>
        <w:t>be used</w:t>
      </w:r>
      <w:r w:rsidRPr="0052430E">
        <w:rPr>
          <w:rFonts w:ascii="Arial" w:hAnsi="Arial" w:cs="Arial"/>
          <w:sz w:val="22"/>
          <w:szCs w:val="22"/>
          <w:lang w:val="en-US"/>
        </w:rPr>
        <w:t xml:space="preserve"> as a reference for Universities or Institutions that want to design their analysis model </w:t>
      </w:r>
      <w:r w:rsidR="0052430E" w:rsidRPr="0052430E">
        <w:rPr>
          <w:rFonts w:ascii="Arial" w:hAnsi="Arial" w:cs="Arial"/>
          <w:sz w:val="22"/>
          <w:szCs w:val="22"/>
          <w:lang w:val="en-US"/>
        </w:rPr>
        <w:t xml:space="preserve">or management system </w:t>
      </w:r>
      <w:r w:rsidRPr="0052430E">
        <w:rPr>
          <w:rFonts w:ascii="Arial" w:hAnsi="Arial" w:cs="Arial"/>
          <w:sz w:val="22"/>
          <w:szCs w:val="22"/>
          <w:lang w:val="en-US"/>
        </w:rPr>
        <w:t xml:space="preserve">of the student dropout. The study shows that the analysis models have changed over the years; firstly, authors use the psychological models, later, </w:t>
      </w:r>
      <w:r w:rsidRPr="0052430E">
        <w:rPr>
          <w:rFonts w:ascii="Arial" w:hAnsi="Arial" w:cs="Arial"/>
          <w:noProof/>
          <w:sz w:val="22"/>
          <w:szCs w:val="22"/>
          <w:lang w:val="en-US"/>
        </w:rPr>
        <w:t>economic</w:t>
      </w:r>
      <w:r w:rsidRPr="0052430E">
        <w:rPr>
          <w:rFonts w:ascii="Arial" w:hAnsi="Arial" w:cs="Arial"/>
          <w:sz w:val="22"/>
          <w:szCs w:val="22"/>
          <w:lang w:val="en-US"/>
        </w:rPr>
        <w:t xml:space="preserve"> </w:t>
      </w:r>
      <w:r w:rsidR="00D86DAC" w:rsidRPr="0052430E">
        <w:rPr>
          <w:rFonts w:ascii="Arial" w:hAnsi="Arial" w:cs="Arial"/>
          <w:sz w:val="22"/>
          <w:szCs w:val="22"/>
          <w:lang w:val="en-US"/>
        </w:rPr>
        <w:t>models</w:t>
      </w:r>
      <w:r w:rsidR="00731F91">
        <w:rPr>
          <w:rFonts w:ascii="Arial" w:hAnsi="Arial" w:cs="Arial"/>
          <w:sz w:val="22"/>
          <w:szCs w:val="22"/>
          <w:lang w:val="en-US"/>
        </w:rPr>
        <w:t xml:space="preserve"> and organizational models;</w:t>
      </w:r>
      <w:r w:rsidR="00D86DAC" w:rsidRPr="0052430E">
        <w:rPr>
          <w:rFonts w:ascii="Arial" w:hAnsi="Arial" w:cs="Arial"/>
          <w:sz w:val="22"/>
          <w:szCs w:val="22"/>
          <w:lang w:val="en-US"/>
        </w:rPr>
        <w:t xml:space="preserve"> finally, the integration models,</w:t>
      </w:r>
      <w:r w:rsidRPr="0052430E">
        <w:rPr>
          <w:rFonts w:ascii="Arial" w:hAnsi="Arial" w:cs="Arial"/>
          <w:sz w:val="22"/>
          <w:szCs w:val="22"/>
          <w:lang w:val="en-US"/>
        </w:rPr>
        <w:t xml:space="preserve"> and their combinations. Among the variables that were prioritized </w:t>
      </w:r>
      <w:r w:rsidRPr="0052430E">
        <w:rPr>
          <w:rFonts w:ascii="Arial" w:hAnsi="Arial" w:cs="Arial"/>
          <w:noProof/>
          <w:sz w:val="22"/>
          <w:szCs w:val="22"/>
          <w:lang w:val="en-US"/>
        </w:rPr>
        <w:t>are</w:t>
      </w:r>
      <w:r w:rsidRPr="0052430E">
        <w:rPr>
          <w:rFonts w:ascii="Arial" w:hAnsi="Arial" w:cs="Arial"/>
          <w:sz w:val="22"/>
          <w:szCs w:val="22"/>
          <w:lang w:val="en-US"/>
        </w:rPr>
        <w:t xml:space="preserve"> gender and family structure, academic performance, satisfaction with the program (expectations), program quality, university’s resources and financing supports.</w:t>
      </w:r>
    </w:p>
    <w:p w:rsidR="00D91D8B" w:rsidRPr="0052430E" w:rsidRDefault="00D91D8B" w:rsidP="00D91D8B">
      <w:pPr>
        <w:jc w:val="both"/>
        <w:rPr>
          <w:rFonts w:ascii="Arial" w:hAnsi="Arial" w:cs="Arial"/>
          <w:b/>
          <w:bCs/>
          <w:i/>
          <w:sz w:val="22"/>
          <w:szCs w:val="22"/>
          <w:lang w:val="en-US"/>
        </w:rPr>
      </w:pPr>
    </w:p>
    <w:p w:rsidR="00D91D8B" w:rsidRPr="0052430E" w:rsidRDefault="00D91D8B" w:rsidP="00D91D8B">
      <w:pPr>
        <w:jc w:val="both"/>
        <w:rPr>
          <w:rFonts w:ascii="Arial" w:hAnsi="Arial" w:cs="Arial"/>
          <w:sz w:val="22"/>
          <w:szCs w:val="22"/>
          <w:lang w:val="en-US"/>
        </w:rPr>
      </w:pPr>
      <w:r w:rsidRPr="0052430E">
        <w:rPr>
          <w:rFonts w:ascii="Arial" w:hAnsi="Arial" w:cs="Arial"/>
          <w:b/>
          <w:bCs/>
          <w:i/>
          <w:noProof/>
          <w:sz w:val="22"/>
          <w:szCs w:val="22"/>
          <w:lang w:val="en-US"/>
        </w:rPr>
        <w:t>Keywords</w:t>
      </w:r>
      <w:r w:rsidRPr="0052430E">
        <w:rPr>
          <w:rFonts w:ascii="Arial" w:hAnsi="Arial" w:cs="Arial"/>
          <w:b/>
          <w:bCs/>
          <w:i/>
          <w:sz w:val="22"/>
          <w:szCs w:val="22"/>
          <w:lang w:val="en-US"/>
        </w:rPr>
        <w:t>:</w:t>
      </w:r>
      <w:r w:rsidRPr="0052430E">
        <w:rPr>
          <w:rFonts w:ascii="Arial" w:hAnsi="Arial" w:cs="Arial"/>
          <w:bCs/>
          <w:sz w:val="22"/>
          <w:szCs w:val="22"/>
          <w:lang w:val="en-US"/>
        </w:rPr>
        <w:t xml:space="preserve">  </w:t>
      </w:r>
      <w:r w:rsidRPr="00D43F9D">
        <w:rPr>
          <w:rFonts w:ascii="Arial" w:hAnsi="Arial" w:cs="Arial"/>
          <w:i/>
          <w:sz w:val="22"/>
          <w:szCs w:val="22"/>
          <w:lang w:val="en-US"/>
        </w:rPr>
        <w:t>student dropout; Pareto principle; management systems.</w:t>
      </w:r>
    </w:p>
    <w:p w:rsidR="00D91D8B" w:rsidRPr="0052430E" w:rsidRDefault="00D91D8B">
      <w:pPr>
        <w:rPr>
          <w:lang w:val="en-US"/>
        </w:rPr>
        <w:sectPr w:rsidR="00D91D8B" w:rsidRPr="0052430E" w:rsidSect="004C2A7E">
          <w:pgSz w:w="12240" w:h="15840"/>
          <w:pgMar w:top="1417" w:right="1418" w:bottom="1417" w:left="1418" w:header="708" w:footer="708" w:gutter="0"/>
          <w:cols w:space="708"/>
          <w:docGrid w:linePitch="360"/>
        </w:sectPr>
      </w:pPr>
    </w:p>
    <w:p w:rsidR="00D91D8B" w:rsidRPr="0052430E" w:rsidRDefault="00D91D8B" w:rsidP="00D91D8B">
      <w:pPr>
        <w:pStyle w:val="Sinespaciado"/>
        <w:rPr>
          <w:rFonts w:ascii="Arial" w:hAnsi="Arial" w:cs="Arial"/>
          <w:sz w:val="22"/>
          <w:szCs w:val="22"/>
        </w:rPr>
      </w:pPr>
      <w:r w:rsidRPr="0052430E">
        <w:rPr>
          <w:rFonts w:ascii="Arial" w:hAnsi="Arial" w:cs="Arial"/>
          <w:sz w:val="22"/>
          <w:szCs w:val="22"/>
        </w:rPr>
        <w:lastRenderedPageBreak/>
        <w:t>1. Introducción</w:t>
      </w:r>
    </w:p>
    <w:p w:rsidR="00D91D8B" w:rsidRPr="0052430E" w:rsidRDefault="00D91D8B" w:rsidP="00D91D8B">
      <w:pPr>
        <w:pStyle w:val="Sinespaciado"/>
        <w:ind w:left="284"/>
        <w:rPr>
          <w:rFonts w:ascii="Arial" w:hAnsi="Arial" w:cs="Arial"/>
        </w:rPr>
      </w:pPr>
    </w:p>
    <w:p w:rsidR="00D91D8B" w:rsidRPr="0052430E" w:rsidRDefault="00D91D8B" w:rsidP="00D91D8B">
      <w:pPr>
        <w:jc w:val="both"/>
        <w:rPr>
          <w:rFonts w:ascii="Arial" w:hAnsi="Arial" w:cs="Arial"/>
          <w:sz w:val="22"/>
          <w:szCs w:val="22"/>
          <w:shd w:val="clear" w:color="auto" w:fill="FFFFFF"/>
        </w:rPr>
      </w:pPr>
      <w:r w:rsidRPr="0052430E">
        <w:rPr>
          <w:rFonts w:ascii="Arial" w:hAnsi="Arial" w:cs="Arial"/>
          <w:sz w:val="22"/>
          <w:szCs w:val="22"/>
        </w:rPr>
        <w:t>Teniendo en cuenta que</w:t>
      </w:r>
      <w:r w:rsidRPr="0052430E">
        <w:rPr>
          <w:rFonts w:ascii="Arial" w:hAnsi="Arial" w:cs="Arial"/>
          <w:sz w:val="22"/>
          <w:szCs w:val="22"/>
          <w:lang w:eastAsia="es-MX"/>
        </w:rPr>
        <w:t xml:space="preserve"> la </w:t>
      </w:r>
      <w:r w:rsidRPr="0052430E">
        <w:rPr>
          <w:rFonts w:ascii="Arial" w:hAnsi="Arial" w:cs="Arial"/>
          <w:sz w:val="22"/>
          <w:szCs w:val="22"/>
        </w:rPr>
        <w:t xml:space="preserve"> educación es considerada como el eje principal del desarrollo social y económico de un país, (Tas et al., 2013),</w:t>
      </w:r>
      <w:r w:rsidRPr="0052430E">
        <w:rPr>
          <w:rFonts w:ascii="Arial" w:hAnsi="Arial" w:cs="Arial"/>
          <w:sz w:val="22"/>
          <w:szCs w:val="22"/>
          <w:lang w:eastAsia="es-MX"/>
        </w:rPr>
        <w:t xml:space="preserve"> </w:t>
      </w:r>
      <w:r w:rsidRPr="0052430E">
        <w:rPr>
          <w:rFonts w:ascii="Arial" w:hAnsi="Arial" w:cs="Arial"/>
          <w:bCs/>
          <w:sz w:val="22"/>
          <w:szCs w:val="22"/>
        </w:rPr>
        <w:t>la</w:t>
      </w:r>
      <w:r w:rsidRPr="0052430E">
        <w:rPr>
          <w:rFonts w:ascii="Arial" w:hAnsi="Arial" w:cs="Arial"/>
          <w:sz w:val="22"/>
          <w:szCs w:val="22"/>
        </w:rPr>
        <w:t xml:space="preserve"> deserción estudiantil, resulta un tema de gran interés para las Instituciones de Educación Superior y las Autoridades Educativas (</w:t>
      </w:r>
      <w:r w:rsidRPr="0052430E">
        <w:rPr>
          <w:rFonts w:ascii="Arial" w:hAnsi="Arial" w:cs="Arial"/>
          <w:sz w:val="22"/>
          <w:szCs w:val="22"/>
          <w:lang w:eastAsia="es-MX"/>
        </w:rPr>
        <w:t xml:space="preserve">Castaño et al., 2008), ya que ésta afecta de manera individual a los estudiantes </w:t>
      </w:r>
      <w:r w:rsidRPr="0052430E">
        <w:rPr>
          <w:rFonts w:ascii="Arial" w:hAnsi="Arial" w:cs="Arial"/>
          <w:sz w:val="22"/>
          <w:szCs w:val="22"/>
          <w:shd w:val="clear" w:color="auto" w:fill="FFFFFF"/>
        </w:rPr>
        <w:t xml:space="preserve">influyendo negativamente  en su inserción social como consecuencia de sus sentimientos de fracaso </w:t>
      </w:r>
      <w:r w:rsidRPr="0052430E">
        <w:rPr>
          <w:rFonts w:ascii="Arial" w:hAnsi="Arial" w:cs="Arial"/>
          <w:sz w:val="22"/>
          <w:szCs w:val="22"/>
          <w:lang w:eastAsia="es-MX"/>
        </w:rPr>
        <w:t>(</w:t>
      </w:r>
      <w:r w:rsidRPr="0052430E">
        <w:rPr>
          <w:rFonts w:ascii="Arial" w:hAnsi="Arial" w:cs="Arial"/>
          <w:sz w:val="22"/>
          <w:szCs w:val="22"/>
          <w:shd w:val="clear" w:color="auto" w:fill="FFFFFF"/>
        </w:rPr>
        <w:t>Osorio et al., 2011), y conlleva</w:t>
      </w:r>
      <w:r w:rsidRPr="0052430E">
        <w:rPr>
          <w:rFonts w:ascii="Arial" w:hAnsi="Arial" w:cs="Arial"/>
          <w:sz w:val="22"/>
          <w:szCs w:val="22"/>
          <w:lang w:eastAsia="es-MX"/>
        </w:rPr>
        <w:t xml:space="preserve"> implicaciones a nivel social e institucional. A nivel social la deserción limita el desarrollo de los individuos de una comunidad disminuyendo sus posibilidades de empleo y participación, lo que incide en el aumento de la pobreza; y a nivel Institucional, perturba la</w:t>
      </w:r>
      <w:r w:rsidRPr="0052430E">
        <w:rPr>
          <w:rFonts w:ascii="Arial" w:hAnsi="Arial" w:cs="Arial"/>
          <w:sz w:val="22"/>
          <w:szCs w:val="22"/>
          <w:shd w:val="clear" w:color="auto" w:fill="FFFFFF"/>
        </w:rPr>
        <w:t xml:space="preserve"> labor de las Universidades en su compromiso con la transformación social afectando </w:t>
      </w:r>
      <w:r w:rsidR="00731F91" w:rsidRPr="0052430E">
        <w:rPr>
          <w:rFonts w:ascii="Arial" w:hAnsi="Arial" w:cs="Arial"/>
          <w:sz w:val="22"/>
          <w:szCs w:val="22"/>
          <w:shd w:val="clear" w:color="auto" w:fill="FFFFFF"/>
        </w:rPr>
        <w:t>la calidad</w:t>
      </w:r>
      <w:r w:rsidRPr="0052430E">
        <w:rPr>
          <w:rFonts w:ascii="Arial" w:hAnsi="Arial" w:cs="Arial"/>
          <w:sz w:val="22"/>
          <w:szCs w:val="22"/>
          <w:shd w:val="clear" w:color="auto" w:fill="FFFFFF"/>
        </w:rPr>
        <w:t xml:space="preserve"> de sus programas.  </w:t>
      </w:r>
    </w:p>
    <w:p w:rsidR="00D91D8B" w:rsidRPr="0052430E" w:rsidRDefault="00D91D8B" w:rsidP="00D91D8B">
      <w:pPr>
        <w:jc w:val="both"/>
        <w:rPr>
          <w:rFonts w:ascii="Arial" w:hAnsi="Arial" w:cs="Arial"/>
          <w:sz w:val="22"/>
          <w:szCs w:val="22"/>
          <w:lang w:eastAsia="es-MX"/>
        </w:rPr>
      </w:pPr>
    </w:p>
    <w:p w:rsidR="00C31CAB" w:rsidRDefault="00D91D8B" w:rsidP="00D91D8B">
      <w:pPr>
        <w:jc w:val="both"/>
        <w:rPr>
          <w:rFonts w:ascii="Arial" w:hAnsi="Arial" w:cs="Arial"/>
          <w:iCs/>
          <w:sz w:val="22"/>
          <w:szCs w:val="22"/>
          <w:lang w:eastAsia="es-MX"/>
        </w:rPr>
      </w:pPr>
      <w:r w:rsidRPr="0052430E">
        <w:rPr>
          <w:rFonts w:ascii="Arial" w:hAnsi="Arial" w:cs="Arial"/>
          <w:sz w:val="22"/>
          <w:szCs w:val="22"/>
        </w:rPr>
        <w:t xml:space="preserve">En el contexto Latinoamericano, se puede observar </w:t>
      </w:r>
      <w:r w:rsidR="00ED20AF">
        <w:rPr>
          <w:rFonts w:ascii="Arial" w:hAnsi="Arial" w:cs="Arial"/>
          <w:sz w:val="22"/>
          <w:szCs w:val="22"/>
        </w:rPr>
        <w:t xml:space="preserve">que </w:t>
      </w:r>
      <w:r w:rsidR="00731F91" w:rsidRPr="0052430E">
        <w:rPr>
          <w:rFonts w:ascii="Arial" w:hAnsi="Arial" w:cs="Arial"/>
          <w:sz w:val="22"/>
          <w:szCs w:val="22"/>
        </w:rPr>
        <w:t xml:space="preserve">la deserción </w:t>
      </w:r>
      <w:r w:rsidR="00731F91">
        <w:rPr>
          <w:rFonts w:ascii="Arial" w:hAnsi="Arial" w:cs="Arial"/>
          <w:sz w:val="22"/>
          <w:szCs w:val="22"/>
        </w:rPr>
        <w:t xml:space="preserve">estudiantil es un </w:t>
      </w:r>
      <w:r w:rsidRPr="0052430E">
        <w:rPr>
          <w:rFonts w:ascii="Arial" w:hAnsi="Arial" w:cs="Arial"/>
          <w:sz w:val="22"/>
          <w:szCs w:val="22"/>
        </w:rPr>
        <w:t xml:space="preserve">fenómeno de gran importancia dentro del sistema de Educación Superior. </w:t>
      </w:r>
      <w:r w:rsidRPr="0052430E">
        <w:rPr>
          <w:rFonts w:ascii="Arial" w:hAnsi="Arial" w:cs="Arial"/>
          <w:sz w:val="22"/>
          <w:szCs w:val="22"/>
          <w:shd w:val="clear" w:color="auto" w:fill="FFFFFF"/>
        </w:rPr>
        <w:t xml:space="preserve">En Chile, </w:t>
      </w:r>
      <w:r w:rsidR="00731F91">
        <w:rPr>
          <w:rFonts w:ascii="Arial" w:hAnsi="Arial" w:cs="Arial"/>
          <w:sz w:val="22"/>
          <w:szCs w:val="22"/>
          <w:shd w:val="clear" w:color="auto" w:fill="FFFFFF"/>
        </w:rPr>
        <w:t xml:space="preserve">por ejemplo, </w:t>
      </w:r>
      <w:r w:rsidRPr="0052430E">
        <w:rPr>
          <w:rFonts w:ascii="Arial" w:hAnsi="Arial" w:cs="Arial"/>
          <w:sz w:val="22"/>
          <w:szCs w:val="22"/>
          <w:shd w:val="clear" w:color="auto" w:fill="FFFFFF"/>
        </w:rPr>
        <w:t xml:space="preserve">la tasa de deserción </w:t>
      </w:r>
      <w:r w:rsidR="00BB560A">
        <w:rPr>
          <w:rFonts w:ascii="Arial" w:hAnsi="Arial" w:cs="Arial"/>
          <w:sz w:val="22"/>
          <w:szCs w:val="22"/>
          <w:shd w:val="clear" w:color="auto" w:fill="FFFFFF"/>
        </w:rPr>
        <w:t xml:space="preserve">por cohorte </w:t>
      </w:r>
      <w:r w:rsidRPr="0052430E">
        <w:rPr>
          <w:rFonts w:ascii="Arial" w:hAnsi="Arial" w:cs="Arial"/>
          <w:sz w:val="22"/>
          <w:szCs w:val="22"/>
          <w:shd w:val="clear" w:color="auto" w:fill="FFFFFF"/>
        </w:rPr>
        <w:t>evaluada para el año 2010 es cercana al 40%</w:t>
      </w:r>
      <w:r w:rsidR="00731F91">
        <w:rPr>
          <w:rFonts w:ascii="Arial" w:hAnsi="Arial" w:cs="Arial"/>
          <w:sz w:val="22"/>
          <w:szCs w:val="22"/>
          <w:shd w:val="clear" w:color="auto" w:fill="FFFFFF"/>
        </w:rPr>
        <w:t xml:space="preserve"> </w:t>
      </w:r>
      <w:r w:rsidR="00793208">
        <w:rPr>
          <w:rFonts w:ascii="Arial" w:hAnsi="Arial" w:cs="Arial"/>
          <w:sz w:val="22"/>
          <w:szCs w:val="22"/>
          <w:shd w:val="clear" w:color="auto" w:fill="FFFFFF"/>
        </w:rPr>
        <w:t>(Barrios, 2011</w:t>
      </w:r>
      <w:r w:rsidRPr="0052430E">
        <w:rPr>
          <w:rFonts w:ascii="Arial" w:hAnsi="Arial" w:cs="Arial"/>
          <w:sz w:val="22"/>
          <w:szCs w:val="22"/>
          <w:shd w:val="clear" w:color="auto" w:fill="FFFFFF"/>
        </w:rPr>
        <w:t xml:space="preserve">), </w:t>
      </w:r>
      <w:r w:rsidR="00731F91">
        <w:rPr>
          <w:rFonts w:ascii="Arial" w:hAnsi="Arial" w:cs="Arial"/>
          <w:sz w:val="22"/>
          <w:szCs w:val="22"/>
          <w:shd w:val="clear" w:color="auto" w:fill="FFFFFF"/>
        </w:rPr>
        <w:t>de acuerdo con las áreas de conocimiento, el porcentaje de deserción en</w:t>
      </w:r>
      <w:r w:rsidR="00ED20AF">
        <w:rPr>
          <w:rFonts w:ascii="Arial" w:hAnsi="Arial" w:cs="Arial"/>
          <w:sz w:val="22"/>
          <w:szCs w:val="22"/>
          <w:shd w:val="clear" w:color="auto" w:fill="FFFFFF"/>
        </w:rPr>
        <w:t xml:space="preserve"> </w:t>
      </w:r>
      <w:r w:rsidR="00731F91">
        <w:rPr>
          <w:rFonts w:ascii="Arial" w:hAnsi="Arial" w:cs="Arial"/>
          <w:sz w:val="22"/>
          <w:szCs w:val="22"/>
          <w:shd w:val="clear" w:color="auto" w:fill="FFFFFF"/>
        </w:rPr>
        <w:t>ese año fue del 80% para</w:t>
      </w:r>
      <w:r w:rsidRPr="0052430E">
        <w:rPr>
          <w:rFonts w:ascii="Arial" w:hAnsi="Arial" w:cs="Arial"/>
          <w:sz w:val="22"/>
          <w:szCs w:val="22"/>
          <w:shd w:val="clear" w:color="auto" w:fill="FFFFFF"/>
        </w:rPr>
        <w:t xml:space="preserve"> Humanidades y Derecho</w:t>
      </w:r>
      <w:r w:rsidR="00731F91">
        <w:rPr>
          <w:rFonts w:ascii="Arial" w:hAnsi="Arial" w:cs="Arial"/>
          <w:sz w:val="22"/>
          <w:szCs w:val="22"/>
          <w:shd w:val="clear" w:color="auto" w:fill="FFFFFF"/>
        </w:rPr>
        <w:t xml:space="preserve">, un 37% en las </w:t>
      </w:r>
      <w:r w:rsidRPr="0052430E">
        <w:rPr>
          <w:rFonts w:ascii="Arial" w:hAnsi="Arial" w:cs="Arial"/>
          <w:sz w:val="22"/>
          <w:szCs w:val="22"/>
          <w:shd w:val="clear" w:color="auto" w:fill="FFFFFF"/>
        </w:rPr>
        <w:t>áreas de Educación</w:t>
      </w:r>
      <w:r w:rsidR="00ED20AF">
        <w:rPr>
          <w:rFonts w:ascii="Arial" w:hAnsi="Arial" w:cs="Arial"/>
          <w:sz w:val="22"/>
          <w:szCs w:val="22"/>
          <w:shd w:val="clear" w:color="auto" w:fill="FFFFFF"/>
        </w:rPr>
        <w:t>,</w:t>
      </w:r>
      <w:r w:rsidR="00731F91">
        <w:rPr>
          <w:rFonts w:ascii="Arial" w:hAnsi="Arial" w:cs="Arial"/>
          <w:sz w:val="22"/>
          <w:szCs w:val="22"/>
          <w:shd w:val="clear" w:color="auto" w:fill="FFFFFF"/>
        </w:rPr>
        <w:t xml:space="preserve"> un 27% en los programas relacionados con</w:t>
      </w:r>
      <w:r w:rsidRPr="0052430E">
        <w:rPr>
          <w:rFonts w:ascii="Arial" w:hAnsi="Arial" w:cs="Arial"/>
          <w:sz w:val="22"/>
          <w:szCs w:val="22"/>
          <w:shd w:val="clear" w:color="auto" w:fill="FFFFFF"/>
        </w:rPr>
        <w:t xml:space="preserve"> </w:t>
      </w:r>
      <w:r w:rsidR="00ED20AF">
        <w:rPr>
          <w:rFonts w:ascii="Arial" w:hAnsi="Arial" w:cs="Arial"/>
          <w:sz w:val="22"/>
          <w:szCs w:val="22"/>
          <w:shd w:val="clear" w:color="auto" w:fill="FFFFFF"/>
        </w:rPr>
        <w:t xml:space="preserve">Salud </w:t>
      </w:r>
      <w:r w:rsidR="00731F91">
        <w:rPr>
          <w:rFonts w:ascii="Arial" w:hAnsi="Arial" w:cs="Arial"/>
          <w:sz w:val="22"/>
          <w:szCs w:val="22"/>
          <w:shd w:val="clear" w:color="auto" w:fill="FFFFFF"/>
        </w:rPr>
        <w:t xml:space="preserve">y </w:t>
      </w:r>
      <w:r w:rsidRPr="0052430E">
        <w:rPr>
          <w:rFonts w:ascii="Arial" w:hAnsi="Arial" w:cs="Arial"/>
          <w:sz w:val="22"/>
          <w:szCs w:val="22"/>
          <w:shd w:val="clear" w:color="auto" w:fill="FFFFFF"/>
        </w:rPr>
        <w:t>de alrededor de un 26%</w:t>
      </w:r>
      <w:r w:rsidR="00731F91">
        <w:rPr>
          <w:rFonts w:ascii="Arial" w:hAnsi="Arial" w:cs="Arial"/>
          <w:sz w:val="22"/>
          <w:szCs w:val="22"/>
          <w:shd w:val="clear" w:color="auto" w:fill="FFFFFF"/>
        </w:rPr>
        <w:t xml:space="preserve"> para los programas de Ingeniería</w:t>
      </w:r>
      <w:r w:rsidRPr="0052430E">
        <w:rPr>
          <w:rFonts w:ascii="Arial" w:hAnsi="Arial" w:cs="Arial"/>
          <w:sz w:val="22"/>
          <w:szCs w:val="22"/>
          <w:shd w:val="clear" w:color="auto" w:fill="FFFFFF"/>
        </w:rPr>
        <w:t>. (Díaz, 2008)</w:t>
      </w:r>
      <w:r w:rsidRPr="0052430E">
        <w:rPr>
          <w:rFonts w:ascii="Arial" w:hAnsi="Arial" w:cs="Arial"/>
          <w:bCs/>
          <w:sz w:val="22"/>
          <w:szCs w:val="22"/>
          <w:shd w:val="clear" w:color="auto" w:fill="FFFFFF"/>
        </w:rPr>
        <w:t>. I</w:t>
      </w:r>
      <w:r w:rsidR="0063741C">
        <w:rPr>
          <w:rFonts w:ascii="Arial" w:hAnsi="Arial" w:cs="Arial"/>
          <w:sz w:val="22"/>
          <w:szCs w:val="22"/>
          <w:shd w:val="clear" w:color="auto" w:fill="FFFFFF"/>
        </w:rPr>
        <w:t>gualmente, e</w:t>
      </w:r>
      <w:r w:rsidRPr="0052430E">
        <w:rPr>
          <w:rFonts w:ascii="Arial" w:hAnsi="Arial" w:cs="Arial"/>
          <w:sz w:val="22"/>
          <w:szCs w:val="22"/>
        </w:rPr>
        <w:t xml:space="preserve">n Costa Rica, la tasa de deserción </w:t>
      </w:r>
      <w:r w:rsidR="00BB560A">
        <w:rPr>
          <w:rFonts w:ascii="Arial" w:hAnsi="Arial" w:cs="Arial"/>
          <w:sz w:val="22"/>
          <w:szCs w:val="22"/>
        </w:rPr>
        <w:t xml:space="preserve">por cohorte </w:t>
      </w:r>
      <w:r w:rsidRPr="0052430E">
        <w:rPr>
          <w:rFonts w:ascii="Arial" w:hAnsi="Arial" w:cs="Arial"/>
          <w:sz w:val="22"/>
          <w:szCs w:val="22"/>
        </w:rPr>
        <w:t xml:space="preserve">es </w:t>
      </w:r>
      <w:r w:rsidR="0063741C">
        <w:rPr>
          <w:rFonts w:ascii="Arial" w:hAnsi="Arial" w:cs="Arial"/>
          <w:sz w:val="22"/>
          <w:szCs w:val="22"/>
        </w:rPr>
        <w:t xml:space="preserve">alta, registrándose valores de hasta un </w:t>
      </w:r>
      <w:r w:rsidR="0063741C" w:rsidRPr="0052430E">
        <w:rPr>
          <w:rFonts w:ascii="Arial" w:hAnsi="Arial" w:cs="Arial"/>
          <w:sz w:val="22"/>
          <w:szCs w:val="22"/>
        </w:rPr>
        <w:t>62%</w:t>
      </w:r>
      <w:r w:rsidR="0063741C">
        <w:rPr>
          <w:rFonts w:ascii="Arial" w:hAnsi="Arial" w:cs="Arial"/>
          <w:sz w:val="22"/>
          <w:szCs w:val="22"/>
        </w:rPr>
        <w:t xml:space="preserve"> </w:t>
      </w:r>
      <w:r w:rsidR="0063741C" w:rsidRPr="0052430E">
        <w:rPr>
          <w:rFonts w:ascii="Arial" w:hAnsi="Arial" w:cs="Arial"/>
          <w:sz w:val="22"/>
          <w:szCs w:val="22"/>
        </w:rPr>
        <w:t>(</w:t>
      </w:r>
      <w:proofErr w:type="spellStart"/>
      <w:r w:rsidRPr="0052430E">
        <w:rPr>
          <w:rFonts w:ascii="Arial" w:hAnsi="Arial" w:cs="Arial"/>
          <w:sz w:val="22"/>
          <w:szCs w:val="22"/>
        </w:rPr>
        <w:t>MEN</w:t>
      </w:r>
      <w:proofErr w:type="spellEnd"/>
      <w:r w:rsidRPr="0052430E">
        <w:rPr>
          <w:rFonts w:ascii="Arial" w:hAnsi="Arial" w:cs="Arial"/>
          <w:sz w:val="22"/>
          <w:szCs w:val="22"/>
        </w:rPr>
        <w:t>, 2013)</w:t>
      </w:r>
      <w:r w:rsidR="0063741C">
        <w:rPr>
          <w:rFonts w:ascii="Arial" w:hAnsi="Arial" w:cs="Arial"/>
          <w:sz w:val="22"/>
          <w:szCs w:val="22"/>
        </w:rPr>
        <w:t xml:space="preserve">, </w:t>
      </w:r>
      <w:r w:rsidR="0063741C" w:rsidRPr="0052430E">
        <w:rPr>
          <w:rFonts w:ascii="Arial" w:hAnsi="Arial" w:cs="Arial"/>
          <w:sz w:val="22"/>
          <w:szCs w:val="22"/>
        </w:rPr>
        <w:t>donde</w:t>
      </w:r>
      <w:r w:rsidR="0063741C">
        <w:rPr>
          <w:rFonts w:ascii="Arial" w:hAnsi="Arial" w:cs="Arial"/>
          <w:sz w:val="22"/>
          <w:szCs w:val="22"/>
        </w:rPr>
        <w:t xml:space="preserve"> </w:t>
      </w:r>
      <w:r w:rsidRPr="0052430E">
        <w:rPr>
          <w:rFonts w:ascii="Arial" w:hAnsi="Arial" w:cs="Arial"/>
          <w:sz w:val="22"/>
          <w:szCs w:val="22"/>
        </w:rPr>
        <w:t>el área de conocimiento de Ingeniería y Agronomía ocupa uno de los primeros lugares en niveles de deserción,</w:t>
      </w:r>
      <w:r w:rsidR="0063741C" w:rsidRPr="0063741C">
        <w:rPr>
          <w:rFonts w:ascii="Arial" w:hAnsi="Arial" w:cs="Arial"/>
          <w:iCs/>
          <w:sz w:val="22"/>
          <w:szCs w:val="22"/>
          <w:lang w:eastAsia="es-MX"/>
        </w:rPr>
        <w:t xml:space="preserve"> </w:t>
      </w:r>
      <w:r w:rsidR="0063741C" w:rsidRPr="0052430E">
        <w:rPr>
          <w:rFonts w:ascii="Arial" w:hAnsi="Arial" w:cs="Arial"/>
          <w:iCs/>
          <w:sz w:val="22"/>
          <w:szCs w:val="22"/>
          <w:lang w:eastAsia="es-MX"/>
        </w:rPr>
        <w:t>(Abarca et al., 2005)</w:t>
      </w:r>
      <w:r w:rsidRPr="0052430E">
        <w:rPr>
          <w:rFonts w:ascii="Arial" w:hAnsi="Arial" w:cs="Arial"/>
          <w:iCs/>
          <w:sz w:val="22"/>
          <w:szCs w:val="22"/>
          <w:lang w:eastAsia="es-MX"/>
        </w:rPr>
        <w:t xml:space="preserve">. </w:t>
      </w:r>
    </w:p>
    <w:p w:rsidR="00C31CAB" w:rsidRDefault="00C31CAB" w:rsidP="00D91D8B">
      <w:pPr>
        <w:jc w:val="both"/>
        <w:rPr>
          <w:rFonts w:ascii="Arial" w:hAnsi="Arial" w:cs="Arial"/>
          <w:iCs/>
          <w:sz w:val="22"/>
          <w:szCs w:val="22"/>
          <w:lang w:eastAsia="es-MX"/>
        </w:rPr>
      </w:pPr>
    </w:p>
    <w:p w:rsidR="00C31CAB" w:rsidRDefault="00D91D8B" w:rsidP="00D91D8B">
      <w:pPr>
        <w:jc w:val="both"/>
        <w:rPr>
          <w:rFonts w:ascii="Arial" w:hAnsi="Arial" w:cs="Arial"/>
          <w:iCs/>
          <w:sz w:val="22"/>
          <w:szCs w:val="22"/>
          <w:lang w:eastAsia="es-MX"/>
        </w:rPr>
      </w:pPr>
      <w:r w:rsidRPr="0052430E">
        <w:rPr>
          <w:rFonts w:ascii="Arial" w:hAnsi="Arial" w:cs="Arial"/>
          <w:iCs/>
          <w:sz w:val="22"/>
          <w:szCs w:val="22"/>
          <w:lang w:eastAsia="es-MX"/>
        </w:rPr>
        <w:t xml:space="preserve">En Uruguay, a nivel de áreas de conocimiento, el más bajo nivel de deserción </w:t>
      </w:r>
      <w:r w:rsidR="0026330E">
        <w:rPr>
          <w:rFonts w:ascii="Arial" w:hAnsi="Arial" w:cs="Arial"/>
          <w:iCs/>
          <w:sz w:val="22"/>
          <w:szCs w:val="22"/>
          <w:lang w:eastAsia="es-MX"/>
        </w:rPr>
        <w:t xml:space="preserve">por cohorte </w:t>
      </w:r>
      <w:r w:rsidRPr="0052430E">
        <w:rPr>
          <w:rFonts w:ascii="Arial" w:hAnsi="Arial" w:cs="Arial"/>
          <w:iCs/>
          <w:sz w:val="22"/>
          <w:szCs w:val="22"/>
          <w:lang w:eastAsia="es-MX"/>
        </w:rPr>
        <w:t xml:space="preserve">lo presenta el área Humanidades y Ciencias de la Educación, el cual no supera el 5% promedio del período </w:t>
      </w:r>
      <w:r w:rsidRPr="0052430E">
        <w:rPr>
          <w:rFonts w:ascii="Arial" w:hAnsi="Arial" w:cs="Arial"/>
          <w:iCs/>
          <w:sz w:val="22"/>
          <w:szCs w:val="22"/>
          <w:lang w:eastAsia="es-MX"/>
        </w:rPr>
        <w:lastRenderedPageBreak/>
        <w:t>(</w:t>
      </w:r>
      <w:proofErr w:type="spellStart"/>
      <w:r w:rsidRPr="0052430E">
        <w:rPr>
          <w:rFonts w:ascii="Arial" w:hAnsi="Arial" w:cs="Arial"/>
          <w:iCs/>
          <w:sz w:val="22"/>
          <w:szCs w:val="22"/>
          <w:lang w:eastAsia="es-MX"/>
        </w:rPr>
        <w:t>Boado</w:t>
      </w:r>
      <w:proofErr w:type="spellEnd"/>
      <w:r w:rsidRPr="0052430E">
        <w:rPr>
          <w:rFonts w:ascii="Arial" w:hAnsi="Arial" w:cs="Arial"/>
          <w:iCs/>
          <w:sz w:val="22"/>
          <w:szCs w:val="22"/>
          <w:lang w:eastAsia="es-MX"/>
        </w:rPr>
        <w:t>, 2005); por su parte, las áreas de conocimiento que presentan un mayor nivel son: Agro-veterinarias</w:t>
      </w:r>
      <w:r w:rsidR="00C31CAB">
        <w:rPr>
          <w:rFonts w:ascii="Arial" w:hAnsi="Arial" w:cs="Arial"/>
          <w:iCs/>
          <w:sz w:val="22"/>
          <w:szCs w:val="22"/>
          <w:lang w:eastAsia="es-MX"/>
        </w:rPr>
        <w:t>,</w:t>
      </w:r>
      <w:r w:rsidRPr="0052430E">
        <w:rPr>
          <w:rFonts w:ascii="Arial" w:hAnsi="Arial" w:cs="Arial"/>
          <w:iCs/>
          <w:sz w:val="22"/>
          <w:szCs w:val="22"/>
          <w:lang w:eastAsia="es-MX"/>
        </w:rPr>
        <w:t xml:space="preserve"> 10 veces mayor, Ingeniería 6,5 veces mayor y Ciencias de la salud 8,5 veces mayor. </w:t>
      </w:r>
    </w:p>
    <w:p w:rsidR="00D94290" w:rsidRDefault="00D94290" w:rsidP="00D91D8B">
      <w:pPr>
        <w:jc w:val="both"/>
        <w:rPr>
          <w:rFonts w:ascii="Arial" w:hAnsi="Arial" w:cs="Arial"/>
          <w:iCs/>
          <w:sz w:val="22"/>
          <w:szCs w:val="22"/>
          <w:lang w:eastAsia="es-MX"/>
        </w:rPr>
      </w:pPr>
    </w:p>
    <w:p w:rsidR="0026330E" w:rsidRDefault="00C70C54" w:rsidP="00D91D8B">
      <w:pPr>
        <w:jc w:val="both"/>
        <w:rPr>
          <w:rFonts w:ascii="Arial" w:hAnsi="Arial" w:cs="Arial"/>
          <w:iCs/>
          <w:sz w:val="22"/>
          <w:szCs w:val="22"/>
          <w:lang w:eastAsia="es-MX"/>
        </w:rPr>
      </w:pPr>
      <w:r>
        <w:rPr>
          <w:rFonts w:ascii="Arial" w:hAnsi="Arial" w:cs="Arial"/>
          <w:iCs/>
          <w:sz w:val="22"/>
          <w:szCs w:val="22"/>
          <w:lang w:eastAsia="es-MX"/>
        </w:rPr>
        <w:t>Por otra parte</w:t>
      </w:r>
      <w:r w:rsidR="00D94290">
        <w:rPr>
          <w:rFonts w:ascii="Arial" w:hAnsi="Arial" w:cs="Arial"/>
          <w:iCs/>
          <w:sz w:val="22"/>
          <w:szCs w:val="22"/>
          <w:lang w:eastAsia="es-MX"/>
        </w:rPr>
        <w:t xml:space="preserve">, en países con mayores avances en su sistema educativo como el Reino Unido </w:t>
      </w:r>
      <w:r>
        <w:rPr>
          <w:rFonts w:ascii="Arial" w:hAnsi="Arial" w:cs="Arial"/>
          <w:iCs/>
          <w:sz w:val="22"/>
          <w:szCs w:val="22"/>
          <w:lang w:eastAsia="es-MX"/>
        </w:rPr>
        <w:t>l</w:t>
      </w:r>
      <w:r w:rsidR="00D94290">
        <w:rPr>
          <w:rFonts w:ascii="Arial" w:hAnsi="Arial" w:cs="Arial"/>
          <w:iCs/>
          <w:sz w:val="22"/>
          <w:szCs w:val="22"/>
          <w:lang w:eastAsia="es-MX"/>
        </w:rPr>
        <w:t xml:space="preserve">a </w:t>
      </w:r>
      <w:r>
        <w:rPr>
          <w:rFonts w:ascii="Arial" w:hAnsi="Arial" w:cs="Arial"/>
          <w:iCs/>
          <w:sz w:val="22"/>
          <w:szCs w:val="22"/>
          <w:lang w:eastAsia="es-MX"/>
        </w:rPr>
        <w:t>deserción</w:t>
      </w:r>
      <w:r w:rsidR="00D94290">
        <w:rPr>
          <w:rFonts w:ascii="Arial" w:hAnsi="Arial" w:cs="Arial"/>
          <w:iCs/>
          <w:sz w:val="22"/>
          <w:szCs w:val="22"/>
          <w:lang w:eastAsia="es-MX"/>
        </w:rPr>
        <w:t xml:space="preserve"> anual es del </w:t>
      </w:r>
      <w:r>
        <w:rPr>
          <w:rFonts w:ascii="Arial" w:hAnsi="Arial" w:cs="Arial"/>
          <w:iCs/>
          <w:sz w:val="22"/>
          <w:szCs w:val="22"/>
          <w:lang w:eastAsia="es-MX"/>
        </w:rPr>
        <w:t xml:space="preserve">8.6%, mientras que en países </w:t>
      </w:r>
      <w:r w:rsidR="00420920">
        <w:rPr>
          <w:rFonts w:ascii="Arial" w:hAnsi="Arial" w:cs="Arial"/>
          <w:iCs/>
          <w:sz w:val="22"/>
          <w:szCs w:val="22"/>
          <w:lang w:eastAsia="es-MX"/>
        </w:rPr>
        <w:t>como Brasil y Estados Unidos la deserción anual alcanza un 18% y 18.3%, respectivamente</w:t>
      </w:r>
      <w:r w:rsidR="0061600D">
        <w:rPr>
          <w:rFonts w:ascii="Arial" w:hAnsi="Arial" w:cs="Arial"/>
          <w:iCs/>
          <w:sz w:val="22"/>
          <w:szCs w:val="22"/>
          <w:lang w:eastAsia="es-MX"/>
        </w:rPr>
        <w:t xml:space="preserve"> </w:t>
      </w:r>
      <w:r w:rsidR="0061600D" w:rsidRPr="0052430E">
        <w:rPr>
          <w:rFonts w:ascii="Arial" w:hAnsi="Arial" w:cs="Arial"/>
          <w:sz w:val="22"/>
          <w:szCs w:val="22"/>
        </w:rPr>
        <w:t>(</w:t>
      </w:r>
      <w:proofErr w:type="spellStart"/>
      <w:r w:rsidR="00793208">
        <w:rPr>
          <w:rFonts w:ascii="Arial" w:hAnsi="Arial" w:cs="Arial"/>
          <w:sz w:val="22"/>
          <w:szCs w:val="22"/>
        </w:rPr>
        <w:t>MEN</w:t>
      </w:r>
      <w:proofErr w:type="spellEnd"/>
      <w:r w:rsidR="00793208">
        <w:rPr>
          <w:rFonts w:ascii="Arial" w:hAnsi="Arial" w:cs="Arial"/>
          <w:sz w:val="22"/>
          <w:szCs w:val="22"/>
        </w:rPr>
        <w:t>, 2013</w:t>
      </w:r>
      <w:r w:rsidR="0061600D" w:rsidRPr="0052430E">
        <w:rPr>
          <w:rFonts w:ascii="Arial" w:hAnsi="Arial" w:cs="Arial"/>
          <w:sz w:val="22"/>
          <w:szCs w:val="22"/>
        </w:rPr>
        <w:t>)</w:t>
      </w:r>
      <w:r w:rsidR="00420920">
        <w:rPr>
          <w:rFonts w:ascii="Arial" w:hAnsi="Arial" w:cs="Arial"/>
          <w:iCs/>
          <w:sz w:val="22"/>
          <w:szCs w:val="22"/>
          <w:lang w:eastAsia="es-MX"/>
        </w:rPr>
        <w:t>.</w:t>
      </w:r>
    </w:p>
    <w:p w:rsidR="00D94290" w:rsidRDefault="00D94290" w:rsidP="00D91D8B">
      <w:pPr>
        <w:jc w:val="both"/>
        <w:rPr>
          <w:rFonts w:ascii="Arial" w:hAnsi="Arial" w:cs="Arial"/>
          <w:iCs/>
          <w:sz w:val="22"/>
          <w:szCs w:val="22"/>
          <w:lang w:eastAsia="es-MX"/>
        </w:rPr>
      </w:pPr>
    </w:p>
    <w:p w:rsidR="00D91D8B" w:rsidRPr="0052430E" w:rsidRDefault="00D91D8B" w:rsidP="00D91D8B">
      <w:pPr>
        <w:jc w:val="both"/>
        <w:rPr>
          <w:rFonts w:ascii="Arial" w:hAnsi="Arial" w:cs="Arial"/>
          <w:sz w:val="22"/>
          <w:szCs w:val="22"/>
        </w:rPr>
      </w:pPr>
      <w:r w:rsidRPr="0052430E">
        <w:rPr>
          <w:rFonts w:ascii="Arial" w:hAnsi="Arial" w:cs="Arial"/>
          <w:iCs/>
          <w:sz w:val="22"/>
          <w:szCs w:val="22"/>
          <w:lang w:eastAsia="es-MX"/>
        </w:rPr>
        <w:t>E</w:t>
      </w:r>
      <w:r w:rsidRPr="0052430E">
        <w:rPr>
          <w:rFonts w:ascii="Arial" w:hAnsi="Arial" w:cs="Arial"/>
          <w:sz w:val="22"/>
          <w:szCs w:val="22"/>
        </w:rPr>
        <w:t>n Colombia,</w:t>
      </w:r>
      <w:r w:rsidR="00C31CAB" w:rsidRPr="00C31CAB">
        <w:rPr>
          <w:rFonts w:ascii="Arial" w:hAnsi="Arial" w:cs="Arial"/>
          <w:sz w:val="22"/>
          <w:szCs w:val="22"/>
        </w:rPr>
        <w:t xml:space="preserve"> </w:t>
      </w:r>
      <w:r w:rsidRPr="0052430E">
        <w:rPr>
          <w:rFonts w:ascii="Arial" w:hAnsi="Arial" w:cs="Arial"/>
          <w:sz w:val="22"/>
          <w:szCs w:val="22"/>
        </w:rPr>
        <w:t>para el año 2013, la deserción</w:t>
      </w:r>
      <w:r w:rsidR="005D3ECD">
        <w:rPr>
          <w:rFonts w:ascii="Arial" w:hAnsi="Arial" w:cs="Arial"/>
          <w:sz w:val="22"/>
          <w:szCs w:val="22"/>
        </w:rPr>
        <w:t xml:space="preserve"> anual</w:t>
      </w:r>
      <w:r w:rsidR="00605D65">
        <w:rPr>
          <w:rFonts w:ascii="Arial" w:hAnsi="Arial" w:cs="Arial"/>
          <w:sz w:val="22"/>
          <w:szCs w:val="22"/>
        </w:rPr>
        <w:t xml:space="preserve"> </w:t>
      </w:r>
      <w:r w:rsidRPr="0052430E">
        <w:rPr>
          <w:rFonts w:ascii="Arial" w:hAnsi="Arial" w:cs="Arial"/>
          <w:sz w:val="22"/>
          <w:szCs w:val="22"/>
        </w:rPr>
        <w:t xml:space="preserve">alcanzó un </w:t>
      </w:r>
      <w:r w:rsidR="00C31CAB">
        <w:rPr>
          <w:rFonts w:ascii="Arial" w:hAnsi="Arial" w:cs="Arial"/>
          <w:sz w:val="22"/>
          <w:szCs w:val="22"/>
        </w:rPr>
        <w:t xml:space="preserve">nivel de </w:t>
      </w:r>
      <w:r w:rsidR="005D3ECD">
        <w:rPr>
          <w:rFonts w:ascii="Arial" w:hAnsi="Arial" w:cs="Arial"/>
          <w:sz w:val="22"/>
          <w:szCs w:val="22"/>
        </w:rPr>
        <w:t>10.4</w:t>
      </w:r>
      <w:r w:rsidRPr="0052430E">
        <w:rPr>
          <w:rFonts w:ascii="Arial" w:hAnsi="Arial" w:cs="Arial"/>
          <w:sz w:val="22"/>
          <w:szCs w:val="22"/>
        </w:rPr>
        <w:t>%</w:t>
      </w:r>
      <w:r w:rsidR="00605D65">
        <w:rPr>
          <w:rFonts w:ascii="Arial" w:hAnsi="Arial" w:cs="Arial"/>
          <w:sz w:val="22"/>
          <w:szCs w:val="22"/>
        </w:rPr>
        <w:t xml:space="preserve"> y la tasa de deserción </w:t>
      </w:r>
      <w:r w:rsidR="005D3ECD">
        <w:rPr>
          <w:rFonts w:ascii="Arial" w:hAnsi="Arial" w:cs="Arial"/>
          <w:sz w:val="22"/>
          <w:szCs w:val="22"/>
        </w:rPr>
        <w:t>por cohorte</w:t>
      </w:r>
      <w:r w:rsidR="005D3ECD" w:rsidRPr="0052430E">
        <w:rPr>
          <w:rFonts w:ascii="Arial" w:hAnsi="Arial" w:cs="Arial"/>
          <w:sz w:val="22"/>
          <w:szCs w:val="22"/>
        </w:rPr>
        <w:t xml:space="preserve"> </w:t>
      </w:r>
      <w:r w:rsidR="00605D65">
        <w:rPr>
          <w:rFonts w:ascii="Arial" w:hAnsi="Arial" w:cs="Arial"/>
          <w:sz w:val="22"/>
          <w:szCs w:val="22"/>
        </w:rPr>
        <w:t xml:space="preserve">llegó al </w:t>
      </w:r>
      <w:r w:rsidR="005D3ECD" w:rsidRPr="0052430E">
        <w:rPr>
          <w:rFonts w:ascii="Arial" w:hAnsi="Arial" w:cs="Arial"/>
          <w:sz w:val="22"/>
          <w:szCs w:val="22"/>
        </w:rPr>
        <w:t>44.9</w:t>
      </w:r>
      <w:r w:rsidR="00605D65">
        <w:rPr>
          <w:rFonts w:ascii="Arial" w:hAnsi="Arial" w:cs="Arial"/>
          <w:sz w:val="22"/>
          <w:szCs w:val="22"/>
        </w:rPr>
        <w:t>%</w:t>
      </w:r>
      <w:r w:rsidR="00561B46" w:rsidRPr="0052430E">
        <w:rPr>
          <w:rFonts w:ascii="Arial" w:hAnsi="Arial" w:cs="Arial"/>
          <w:sz w:val="22"/>
          <w:szCs w:val="22"/>
        </w:rPr>
        <w:t xml:space="preserve">, </w:t>
      </w:r>
      <w:r w:rsidR="00561B46">
        <w:rPr>
          <w:rFonts w:ascii="Arial" w:hAnsi="Arial" w:cs="Arial"/>
          <w:sz w:val="22"/>
          <w:szCs w:val="22"/>
        </w:rPr>
        <w:t>del</w:t>
      </w:r>
      <w:r w:rsidR="00CB6336">
        <w:rPr>
          <w:rFonts w:ascii="Arial" w:hAnsi="Arial" w:cs="Arial"/>
          <w:sz w:val="22"/>
          <w:szCs w:val="22"/>
        </w:rPr>
        <w:t xml:space="preserve"> cual </w:t>
      </w:r>
      <w:r w:rsidR="00561B46">
        <w:rPr>
          <w:rFonts w:ascii="Arial" w:hAnsi="Arial" w:cs="Arial"/>
          <w:sz w:val="22"/>
          <w:szCs w:val="22"/>
        </w:rPr>
        <w:t xml:space="preserve">el </w:t>
      </w:r>
      <w:r w:rsidR="00561B46" w:rsidRPr="0052430E">
        <w:rPr>
          <w:rFonts w:ascii="Arial" w:hAnsi="Arial" w:cs="Arial"/>
          <w:sz w:val="22"/>
          <w:szCs w:val="22"/>
        </w:rPr>
        <w:t>33.8</w:t>
      </w:r>
      <w:r w:rsidRPr="0052430E">
        <w:rPr>
          <w:rFonts w:ascii="Arial" w:hAnsi="Arial" w:cs="Arial"/>
          <w:sz w:val="22"/>
          <w:szCs w:val="22"/>
        </w:rPr>
        <w:t xml:space="preserve">% </w:t>
      </w:r>
      <w:r w:rsidR="00CB6336">
        <w:rPr>
          <w:rFonts w:ascii="Arial" w:hAnsi="Arial" w:cs="Arial"/>
          <w:sz w:val="22"/>
          <w:szCs w:val="22"/>
        </w:rPr>
        <w:t>corresponde a</w:t>
      </w:r>
      <w:r w:rsidRPr="0052430E">
        <w:rPr>
          <w:rFonts w:ascii="Arial" w:hAnsi="Arial" w:cs="Arial"/>
          <w:sz w:val="22"/>
          <w:szCs w:val="22"/>
        </w:rPr>
        <w:t xml:space="preserve"> los primeros cuatro semestres</w:t>
      </w:r>
      <w:r w:rsidR="00C31CAB">
        <w:rPr>
          <w:rFonts w:ascii="Arial" w:hAnsi="Arial" w:cs="Arial"/>
          <w:sz w:val="22"/>
          <w:szCs w:val="22"/>
        </w:rPr>
        <w:t>. Con respecto al nivel de</w:t>
      </w:r>
      <w:r w:rsidRPr="0052430E">
        <w:rPr>
          <w:rFonts w:ascii="Arial" w:hAnsi="Arial" w:cs="Arial"/>
          <w:sz w:val="22"/>
          <w:szCs w:val="22"/>
        </w:rPr>
        <w:t xml:space="preserve"> deserción estudiantil en el </w:t>
      </w:r>
      <w:r w:rsidR="00CB6336">
        <w:rPr>
          <w:rFonts w:ascii="Arial" w:hAnsi="Arial" w:cs="Arial"/>
          <w:sz w:val="22"/>
          <w:szCs w:val="22"/>
        </w:rPr>
        <w:t xml:space="preserve">campo </w:t>
      </w:r>
      <w:r w:rsidR="00CB6336" w:rsidRPr="0052430E">
        <w:rPr>
          <w:rFonts w:ascii="Arial" w:hAnsi="Arial" w:cs="Arial"/>
          <w:sz w:val="22"/>
          <w:szCs w:val="22"/>
        </w:rPr>
        <w:t>de</w:t>
      </w:r>
      <w:r w:rsidRPr="0052430E">
        <w:rPr>
          <w:rFonts w:ascii="Arial" w:hAnsi="Arial" w:cs="Arial"/>
          <w:sz w:val="22"/>
          <w:szCs w:val="22"/>
        </w:rPr>
        <w:t xml:space="preserve"> Ingeniería</w:t>
      </w:r>
      <w:r w:rsidR="00561B46">
        <w:rPr>
          <w:rFonts w:ascii="Arial" w:hAnsi="Arial" w:cs="Arial"/>
          <w:sz w:val="22"/>
          <w:szCs w:val="22"/>
        </w:rPr>
        <w:t>,</w:t>
      </w:r>
      <w:r w:rsidRPr="0052430E">
        <w:rPr>
          <w:rFonts w:ascii="Arial" w:hAnsi="Arial" w:cs="Arial"/>
          <w:sz w:val="22"/>
          <w:szCs w:val="22"/>
        </w:rPr>
        <w:t xml:space="preserve"> es</w:t>
      </w:r>
      <w:r w:rsidR="00C31CAB">
        <w:rPr>
          <w:rFonts w:ascii="Arial" w:hAnsi="Arial" w:cs="Arial"/>
          <w:sz w:val="22"/>
          <w:szCs w:val="22"/>
        </w:rPr>
        <w:t>te alcanzó un valor de</w:t>
      </w:r>
      <w:r w:rsidRPr="0052430E">
        <w:rPr>
          <w:rFonts w:ascii="Arial" w:hAnsi="Arial" w:cs="Arial"/>
          <w:sz w:val="22"/>
          <w:szCs w:val="22"/>
        </w:rPr>
        <w:t xml:space="preserve"> 50,7%, </w:t>
      </w:r>
      <w:r w:rsidR="00C31CAB" w:rsidRPr="0052430E">
        <w:rPr>
          <w:rFonts w:ascii="Arial" w:hAnsi="Arial" w:cs="Arial"/>
          <w:sz w:val="22"/>
          <w:szCs w:val="22"/>
        </w:rPr>
        <w:t>(</w:t>
      </w:r>
      <w:proofErr w:type="spellStart"/>
      <w:r w:rsidR="00793208">
        <w:rPr>
          <w:rFonts w:ascii="Arial" w:hAnsi="Arial" w:cs="Arial"/>
          <w:sz w:val="22"/>
          <w:szCs w:val="22"/>
        </w:rPr>
        <w:t>MEN</w:t>
      </w:r>
      <w:proofErr w:type="spellEnd"/>
      <w:r w:rsidR="00793208">
        <w:rPr>
          <w:rFonts w:ascii="Arial" w:hAnsi="Arial" w:cs="Arial"/>
          <w:sz w:val="22"/>
          <w:szCs w:val="22"/>
        </w:rPr>
        <w:t>, 2013</w:t>
      </w:r>
      <w:r w:rsidR="00C31CAB" w:rsidRPr="0052430E">
        <w:rPr>
          <w:rFonts w:ascii="Arial" w:hAnsi="Arial" w:cs="Arial"/>
          <w:sz w:val="22"/>
          <w:szCs w:val="22"/>
        </w:rPr>
        <w:t>)</w:t>
      </w:r>
      <w:r w:rsidR="00C31CAB">
        <w:rPr>
          <w:rFonts w:ascii="Arial" w:hAnsi="Arial" w:cs="Arial"/>
          <w:sz w:val="22"/>
          <w:szCs w:val="22"/>
        </w:rPr>
        <w:t xml:space="preserve">, </w:t>
      </w:r>
      <w:r w:rsidRPr="0052430E">
        <w:rPr>
          <w:rFonts w:ascii="Arial" w:hAnsi="Arial" w:cs="Arial"/>
          <w:sz w:val="22"/>
          <w:szCs w:val="22"/>
        </w:rPr>
        <w:t xml:space="preserve">lo cual indicaría que más de la mitad de los estudiantes que inician sus estudios universitarios </w:t>
      </w:r>
      <w:r w:rsidR="00C31CAB">
        <w:rPr>
          <w:rFonts w:ascii="Arial" w:hAnsi="Arial" w:cs="Arial"/>
          <w:sz w:val="22"/>
          <w:szCs w:val="22"/>
        </w:rPr>
        <w:t xml:space="preserve">en programas de éste campo </w:t>
      </w:r>
      <w:r w:rsidRPr="0052430E">
        <w:rPr>
          <w:rFonts w:ascii="Arial" w:hAnsi="Arial" w:cs="Arial"/>
          <w:sz w:val="22"/>
          <w:szCs w:val="22"/>
        </w:rPr>
        <w:t>abandonan la Universidad</w:t>
      </w:r>
      <w:r w:rsidR="00CB6336">
        <w:rPr>
          <w:rFonts w:ascii="Arial" w:hAnsi="Arial" w:cs="Arial"/>
          <w:sz w:val="22"/>
          <w:szCs w:val="22"/>
        </w:rPr>
        <w:t>, s</w:t>
      </w:r>
      <w:r w:rsidR="00C31CAB">
        <w:rPr>
          <w:rFonts w:ascii="Arial" w:hAnsi="Arial" w:cs="Arial"/>
          <w:sz w:val="22"/>
          <w:szCs w:val="22"/>
        </w:rPr>
        <w:t>iendo</w:t>
      </w:r>
      <w:r w:rsidR="00CB6336">
        <w:rPr>
          <w:rFonts w:ascii="Arial" w:hAnsi="Arial" w:cs="Arial"/>
          <w:sz w:val="22"/>
          <w:szCs w:val="22"/>
        </w:rPr>
        <w:t xml:space="preserve"> así</w:t>
      </w:r>
      <w:r w:rsidR="00C31CAB">
        <w:rPr>
          <w:rFonts w:ascii="Arial" w:hAnsi="Arial" w:cs="Arial"/>
          <w:sz w:val="22"/>
          <w:szCs w:val="22"/>
        </w:rPr>
        <w:t xml:space="preserve"> el área</w:t>
      </w:r>
      <w:r w:rsidR="00C31CAB" w:rsidRPr="0052430E">
        <w:rPr>
          <w:rFonts w:ascii="Arial" w:hAnsi="Arial" w:cs="Arial"/>
          <w:sz w:val="22"/>
          <w:szCs w:val="22"/>
        </w:rPr>
        <w:t xml:space="preserve"> Ingeniería, arquitectura, urbanismo y a fines la que presenta la mayor tasa de deserción</w:t>
      </w:r>
      <w:r w:rsidR="00561B46">
        <w:rPr>
          <w:rFonts w:ascii="Arial" w:hAnsi="Arial" w:cs="Arial"/>
          <w:sz w:val="22"/>
          <w:szCs w:val="22"/>
        </w:rPr>
        <w:t xml:space="preserve">. Este </w:t>
      </w:r>
      <w:r w:rsidR="00CB6336">
        <w:rPr>
          <w:rFonts w:ascii="Arial" w:hAnsi="Arial" w:cs="Arial"/>
          <w:sz w:val="22"/>
          <w:szCs w:val="22"/>
        </w:rPr>
        <w:t xml:space="preserve">comportamiento </w:t>
      </w:r>
      <w:r w:rsidR="00561B46">
        <w:rPr>
          <w:rFonts w:ascii="Arial" w:hAnsi="Arial" w:cs="Arial"/>
          <w:sz w:val="22"/>
          <w:szCs w:val="22"/>
        </w:rPr>
        <w:t xml:space="preserve">es </w:t>
      </w:r>
      <w:r w:rsidR="00CB6336">
        <w:rPr>
          <w:rFonts w:ascii="Arial" w:hAnsi="Arial" w:cs="Arial"/>
          <w:sz w:val="22"/>
          <w:szCs w:val="22"/>
        </w:rPr>
        <w:t xml:space="preserve">similar al que se observa en </w:t>
      </w:r>
      <w:r w:rsidR="00CB6336" w:rsidRPr="0052430E">
        <w:rPr>
          <w:rFonts w:ascii="Arial" w:hAnsi="Arial" w:cs="Arial"/>
          <w:sz w:val="22"/>
          <w:szCs w:val="22"/>
        </w:rPr>
        <w:t>el</w:t>
      </w:r>
      <w:r w:rsidR="00C31CAB" w:rsidRPr="0052430E">
        <w:rPr>
          <w:rFonts w:ascii="Arial" w:hAnsi="Arial" w:cs="Arial"/>
          <w:sz w:val="22"/>
          <w:szCs w:val="22"/>
        </w:rPr>
        <w:t xml:space="preserve"> contexto latinoamericano (</w:t>
      </w:r>
      <w:proofErr w:type="spellStart"/>
      <w:r w:rsidR="00C31CAB" w:rsidRPr="0052430E">
        <w:rPr>
          <w:rFonts w:ascii="Arial" w:hAnsi="Arial" w:cs="Arial"/>
          <w:sz w:val="22"/>
          <w:szCs w:val="22"/>
        </w:rPr>
        <w:t>MEN</w:t>
      </w:r>
      <w:proofErr w:type="spellEnd"/>
      <w:r w:rsidR="00C31CAB" w:rsidRPr="0052430E">
        <w:rPr>
          <w:rFonts w:ascii="Arial" w:hAnsi="Arial" w:cs="Arial"/>
          <w:sz w:val="22"/>
          <w:szCs w:val="22"/>
        </w:rPr>
        <w:t>, 2009).</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Ante esta problemática los países han definido planes, políticas y herramientas para analizar el fenómeno de la deserción a nivel Institucional</w:t>
      </w:r>
      <w:r w:rsidR="00561B46">
        <w:rPr>
          <w:rFonts w:ascii="Arial" w:hAnsi="Arial" w:cs="Arial"/>
          <w:sz w:val="22"/>
          <w:szCs w:val="22"/>
        </w:rPr>
        <w:t>. P</w:t>
      </w:r>
      <w:r w:rsidRPr="0052430E">
        <w:rPr>
          <w:rFonts w:ascii="Arial" w:hAnsi="Arial" w:cs="Arial"/>
          <w:sz w:val="22"/>
          <w:szCs w:val="22"/>
        </w:rPr>
        <w:t xml:space="preserve">ara el caso de Colombia el Ministerio de Educación Nacional diseñó un sistema de información para el análisis de la permanencia en la educación superior, denominado </w:t>
      </w:r>
      <w:proofErr w:type="spellStart"/>
      <w:r w:rsidRPr="0052430E">
        <w:rPr>
          <w:rFonts w:ascii="Arial" w:hAnsi="Arial" w:cs="Arial"/>
          <w:sz w:val="22"/>
          <w:szCs w:val="22"/>
        </w:rPr>
        <w:t>SPADIES</w:t>
      </w:r>
      <w:proofErr w:type="spellEnd"/>
      <w:r w:rsidR="00C31CAB">
        <w:rPr>
          <w:rFonts w:ascii="Arial" w:hAnsi="Arial" w:cs="Arial"/>
          <w:sz w:val="22"/>
          <w:szCs w:val="22"/>
        </w:rPr>
        <w:t>;</w:t>
      </w:r>
      <w:r w:rsidRPr="0052430E">
        <w:rPr>
          <w:rFonts w:ascii="Arial" w:hAnsi="Arial" w:cs="Arial"/>
          <w:sz w:val="22"/>
          <w:szCs w:val="22"/>
        </w:rPr>
        <w:t xml:space="preserve"> sin embargo, estas estrategias no están orientadas a las particularidades de las instituciones con el fin de obtener una caracterización de los factores que influyen en la deserción estudiantil propios de una Institución. </w:t>
      </w:r>
      <w:r w:rsidR="00C31CAB">
        <w:rPr>
          <w:rFonts w:ascii="Arial" w:hAnsi="Arial" w:cs="Arial"/>
          <w:sz w:val="22"/>
          <w:szCs w:val="22"/>
        </w:rPr>
        <w:t xml:space="preserve">Por lo anterior, y como lo </w:t>
      </w:r>
      <w:r w:rsidR="00561B46">
        <w:rPr>
          <w:rFonts w:ascii="Arial" w:hAnsi="Arial" w:cs="Arial"/>
          <w:sz w:val="22"/>
          <w:szCs w:val="22"/>
        </w:rPr>
        <w:t>sugiere</w:t>
      </w:r>
      <w:r w:rsidR="00C31CAB">
        <w:rPr>
          <w:rFonts w:ascii="Arial" w:hAnsi="Arial" w:cs="Arial"/>
          <w:sz w:val="22"/>
          <w:szCs w:val="22"/>
        </w:rPr>
        <w:t xml:space="preserve"> </w:t>
      </w:r>
      <w:r w:rsidR="00C31CAB" w:rsidRPr="0052430E">
        <w:rPr>
          <w:rFonts w:ascii="Arial" w:hAnsi="Arial" w:cs="Arial"/>
          <w:sz w:val="22"/>
          <w:szCs w:val="22"/>
          <w:lang w:eastAsia="es-MX"/>
        </w:rPr>
        <w:t xml:space="preserve">Al </w:t>
      </w:r>
      <w:proofErr w:type="spellStart"/>
      <w:r w:rsidR="00C31CAB" w:rsidRPr="0052430E">
        <w:rPr>
          <w:rFonts w:ascii="Arial" w:hAnsi="Arial" w:cs="Arial"/>
          <w:sz w:val="22"/>
          <w:szCs w:val="22"/>
          <w:lang w:eastAsia="es-MX"/>
        </w:rPr>
        <w:t>Ghanboosi</w:t>
      </w:r>
      <w:proofErr w:type="spellEnd"/>
      <w:r w:rsidR="00C31CAB" w:rsidRPr="0052430E">
        <w:rPr>
          <w:rFonts w:ascii="Arial" w:hAnsi="Arial" w:cs="Arial"/>
          <w:sz w:val="22"/>
          <w:szCs w:val="22"/>
          <w:lang w:eastAsia="es-MX"/>
        </w:rPr>
        <w:t xml:space="preserve"> </w:t>
      </w:r>
      <w:r w:rsidR="00C31CAB" w:rsidRPr="0052430E">
        <w:rPr>
          <w:rFonts w:ascii="Arial" w:hAnsi="Arial" w:cs="Arial"/>
          <w:sz w:val="22"/>
          <w:szCs w:val="22"/>
        </w:rPr>
        <w:t>et al. (2013)</w:t>
      </w:r>
      <w:r w:rsidR="00C31CAB">
        <w:rPr>
          <w:rFonts w:ascii="Arial" w:hAnsi="Arial" w:cs="Arial"/>
          <w:sz w:val="22"/>
          <w:szCs w:val="22"/>
        </w:rPr>
        <w:t xml:space="preserve">, </w:t>
      </w:r>
      <w:proofErr w:type="gramStart"/>
      <w:r w:rsidR="00BA732D">
        <w:rPr>
          <w:rFonts w:ascii="Arial" w:hAnsi="Arial" w:cs="Arial"/>
          <w:sz w:val="22"/>
          <w:szCs w:val="22"/>
        </w:rPr>
        <w:t>es</w:t>
      </w:r>
      <w:proofErr w:type="gramEnd"/>
      <w:r w:rsidRPr="0052430E">
        <w:rPr>
          <w:rFonts w:ascii="Arial" w:hAnsi="Arial" w:cs="Arial"/>
          <w:sz w:val="22"/>
          <w:szCs w:val="22"/>
        </w:rPr>
        <w:t xml:space="preserve"> necesario diseñar modelo</w:t>
      </w:r>
      <w:r w:rsidR="00BA732D">
        <w:rPr>
          <w:rFonts w:ascii="Arial" w:hAnsi="Arial" w:cs="Arial"/>
          <w:sz w:val="22"/>
          <w:szCs w:val="22"/>
        </w:rPr>
        <w:t>s</w:t>
      </w:r>
      <w:r w:rsidRPr="0052430E">
        <w:rPr>
          <w:rFonts w:ascii="Arial" w:hAnsi="Arial" w:cs="Arial"/>
          <w:sz w:val="22"/>
          <w:szCs w:val="22"/>
        </w:rPr>
        <w:t xml:space="preserve"> de gestión integral de deserción temprana, que permita identificar aquellos factores y variables que afectan el desempeño de una </w:t>
      </w:r>
      <w:r w:rsidRPr="0052430E">
        <w:rPr>
          <w:rFonts w:ascii="Arial" w:hAnsi="Arial" w:cs="Arial"/>
          <w:sz w:val="22"/>
          <w:szCs w:val="22"/>
        </w:rPr>
        <w:lastRenderedPageBreak/>
        <w:t>institución en concordancia con su misión,  a fin de poder diseñar estrategias de enseñanza</w:t>
      </w:r>
      <w:r w:rsidR="00561B46">
        <w:rPr>
          <w:rFonts w:ascii="Arial" w:hAnsi="Arial" w:cs="Arial"/>
          <w:sz w:val="22"/>
          <w:szCs w:val="22"/>
        </w:rPr>
        <w:t xml:space="preserve"> y aprendizaje</w:t>
      </w:r>
      <w:r w:rsidRPr="0052430E">
        <w:rPr>
          <w:rFonts w:ascii="Arial" w:hAnsi="Arial" w:cs="Arial"/>
          <w:sz w:val="22"/>
          <w:szCs w:val="22"/>
        </w:rPr>
        <w:t xml:space="preserve"> que favorezcan el desempeño académico, la retención de los estudiantes y por ende la disminución de la deserción en la Educación Superior (García et al., 2011)</w:t>
      </w:r>
      <w:r w:rsidR="00561B46">
        <w:rPr>
          <w:rFonts w:ascii="Arial" w:hAnsi="Arial" w:cs="Arial"/>
          <w:sz w:val="22"/>
          <w:szCs w:val="22"/>
        </w:rPr>
        <w:t>.</w:t>
      </w:r>
    </w:p>
    <w:p w:rsidR="00D91D8B" w:rsidRPr="0052430E" w:rsidRDefault="00D91D8B" w:rsidP="00D91D8B">
      <w:pPr>
        <w:jc w:val="both"/>
        <w:rPr>
          <w:rFonts w:ascii="Arial" w:hAnsi="Arial" w:cs="Arial"/>
          <w:sz w:val="22"/>
          <w:szCs w:val="22"/>
          <w:lang w:eastAsia="es-MX"/>
        </w:rPr>
      </w:pPr>
    </w:p>
    <w:p w:rsidR="007067AB" w:rsidRPr="002311BB" w:rsidRDefault="007E1B04" w:rsidP="002311BB">
      <w:pPr>
        <w:jc w:val="both"/>
        <w:rPr>
          <w:rFonts w:ascii="Arial" w:hAnsi="Arial" w:cs="Arial"/>
          <w:sz w:val="22"/>
          <w:szCs w:val="22"/>
        </w:rPr>
      </w:pPr>
      <w:r w:rsidRPr="002311BB">
        <w:rPr>
          <w:rFonts w:ascii="Arial" w:hAnsi="Arial" w:cs="Arial"/>
          <w:sz w:val="22"/>
          <w:szCs w:val="22"/>
        </w:rPr>
        <w:t xml:space="preserve">La </w:t>
      </w:r>
      <w:r w:rsidR="0052390A" w:rsidRPr="002311BB">
        <w:rPr>
          <w:rFonts w:ascii="Arial" w:hAnsi="Arial" w:cs="Arial"/>
          <w:sz w:val="22"/>
          <w:szCs w:val="22"/>
        </w:rPr>
        <w:t>Ingeniería</w:t>
      </w:r>
      <w:r w:rsidR="007067AB" w:rsidRPr="002311BB">
        <w:rPr>
          <w:rFonts w:ascii="Arial" w:hAnsi="Arial" w:cs="Arial"/>
          <w:sz w:val="22"/>
          <w:szCs w:val="22"/>
        </w:rPr>
        <w:t xml:space="preserve"> entendida como </w:t>
      </w:r>
      <w:r w:rsidR="00577AE9" w:rsidRPr="002311BB">
        <w:rPr>
          <w:rFonts w:ascii="Arial" w:hAnsi="Arial" w:cs="Arial"/>
          <w:sz w:val="22"/>
          <w:szCs w:val="22"/>
        </w:rPr>
        <w:t>‘</w:t>
      </w:r>
      <w:r w:rsidR="007067AB" w:rsidRPr="002311BB">
        <w:rPr>
          <w:rFonts w:ascii="Arial" w:hAnsi="Arial" w:cs="Arial"/>
          <w:sz w:val="22"/>
          <w:szCs w:val="22"/>
        </w:rPr>
        <w:t>el campo de conocimiento sobre el diseño y creación de productos hechos por el hombre y un procedimiento para la resolución de problemas</w:t>
      </w:r>
      <w:r w:rsidR="00577AE9" w:rsidRPr="002311BB">
        <w:rPr>
          <w:rFonts w:ascii="Arial" w:hAnsi="Arial" w:cs="Arial"/>
          <w:sz w:val="22"/>
          <w:szCs w:val="22"/>
        </w:rPr>
        <w:t>’</w:t>
      </w:r>
      <w:r w:rsidR="007067AB" w:rsidRPr="002311BB">
        <w:rPr>
          <w:rFonts w:ascii="Arial" w:hAnsi="Arial" w:cs="Arial"/>
          <w:sz w:val="22"/>
          <w:szCs w:val="22"/>
        </w:rPr>
        <w:t>,</w:t>
      </w:r>
      <w:r w:rsidR="008D4783" w:rsidRPr="002311BB">
        <w:rPr>
          <w:rFonts w:ascii="Arial" w:hAnsi="Arial" w:cs="Arial"/>
          <w:sz w:val="22"/>
          <w:szCs w:val="22"/>
        </w:rPr>
        <w:t xml:space="preserve"> (</w:t>
      </w:r>
      <w:proofErr w:type="spellStart"/>
      <w:r w:rsidR="008D4783" w:rsidRPr="002311BB">
        <w:rPr>
          <w:rFonts w:ascii="Arial" w:hAnsi="Arial" w:cs="Arial"/>
          <w:sz w:val="22"/>
          <w:szCs w:val="22"/>
          <w:lang w:val="es-MX"/>
        </w:rPr>
        <w:t>Katehi</w:t>
      </w:r>
      <w:proofErr w:type="spellEnd"/>
      <w:r w:rsidR="008D4783" w:rsidRPr="002311BB">
        <w:rPr>
          <w:rFonts w:ascii="Arial" w:hAnsi="Arial" w:cs="Arial"/>
          <w:sz w:val="22"/>
          <w:szCs w:val="22"/>
          <w:lang w:val="es-MX"/>
        </w:rPr>
        <w:t xml:space="preserve"> et al., 2009), </w:t>
      </w:r>
      <w:r w:rsidR="007067AB" w:rsidRPr="002311BB">
        <w:rPr>
          <w:rFonts w:ascii="Arial" w:hAnsi="Arial" w:cs="Arial"/>
          <w:sz w:val="22"/>
          <w:szCs w:val="22"/>
        </w:rPr>
        <w:t xml:space="preserve">se encarga </w:t>
      </w:r>
      <w:r w:rsidR="00FF6334" w:rsidRPr="002311BB">
        <w:rPr>
          <w:rFonts w:ascii="Arial" w:hAnsi="Arial" w:cs="Arial"/>
          <w:sz w:val="22"/>
          <w:szCs w:val="22"/>
        </w:rPr>
        <w:t xml:space="preserve"> de la </w:t>
      </w:r>
      <w:r w:rsidR="007067AB" w:rsidRPr="002311BB">
        <w:rPr>
          <w:rFonts w:ascii="Arial" w:hAnsi="Arial" w:cs="Arial"/>
          <w:sz w:val="22"/>
          <w:szCs w:val="22"/>
        </w:rPr>
        <w:t xml:space="preserve">identificación y </w:t>
      </w:r>
      <w:r w:rsidR="00FF6334" w:rsidRPr="002311BB">
        <w:rPr>
          <w:rFonts w:ascii="Arial" w:hAnsi="Arial" w:cs="Arial"/>
          <w:sz w:val="22"/>
          <w:szCs w:val="22"/>
        </w:rPr>
        <w:t>solución de problemas del contexto, el desarrollo de la tecnología, la innovación</w:t>
      </w:r>
      <w:r w:rsidR="007A59D9" w:rsidRPr="002311BB">
        <w:rPr>
          <w:rFonts w:ascii="Arial" w:hAnsi="Arial" w:cs="Arial"/>
          <w:sz w:val="22"/>
          <w:szCs w:val="22"/>
        </w:rPr>
        <w:t xml:space="preserve">, y </w:t>
      </w:r>
      <w:r w:rsidR="002031F3" w:rsidRPr="002311BB">
        <w:rPr>
          <w:rFonts w:ascii="Arial" w:hAnsi="Arial" w:cs="Arial"/>
          <w:sz w:val="22"/>
          <w:szCs w:val="22"/>
        </w:rPr>
        <w:t>la ejecución</w:t>
      </w:r>
      <w:r w:rsidR="007A59D9" w:rsidRPr="002311BB">
        <w:rPr>
          <w:rFonts w:ascii="Arial" w:hAnsi="Arial" w:cs="Arial"/>
          <w:sz w:val="22"/>
          <w:szCs w:val="22"/>
        </w:rPr>
        <w:t xml:space="preserve"> de proyectos que enfrenten los desafíos actuales de la sociedad, </w:t>
      </w:r>
      <w:r w:rsidR="00577AE9" w:rsidRPr="002311BB">
        <w:rPr>
          <w:rFonts w:ascii="Arial" w:hAnsi="Arial" w:cs="Arial"/>
          <w:sz w:val="22"/>
          <w:szCs w:val="22"/>
        </w:rPr>
        <w:t xml:space="preserve">entre los que están cómo tener </w:t>
      </w:r>
      <w:r w:rsidR="007A59D9" w:rsidRPr="002311BB">
        <w:rPr>
          <w:rFonts w:ascii="Arial" w:hAnsi="Arial" w:cs="Arial"/>
          <w:sz w:val="22"/>
          <w:szCs w:val="22"/>
        </w:rPr>
        <w:t>agua limpia</w:t>
      </w:r>
      <w:r w:rsidR="0052390A" w:rsidRPr="002311BB">
        <w:rPr>
          <w:rFonts w:ascii="Arial" w:hAnsi="Arial" w:cs="Arial"/>
          <w:sz w:val="22"/>
          <w:szCs w:val="22"/>
        </w:rPr>
        <w:t xml:space="preserve">, </w:t>
      </w:r>
      <w:r w:rsidR="007A59D9" w:rsidRPr="002311BB">
        <w:rPr>
          <w:rFonts w:ascii="Arial" w:hAnsi="Arial" w:cs="Arial"/>
          <w:sz w:val="22"/>
          <w:szCs w:val="22"/>
        </w:rPr>
        <w:t>el perfeccionamiento de nueva</w:t>
      </w:r>
      <w:r w:rsidR="00672478" w:rsidRPr="002311BB">
        <w:rPr>
          <w:rFonts w:ascii="Arial" w:hAnsi="Arial" w:cs="Arial"/>
          <w:sz w:val="22"/>
          <w:szCs w:val="22"/>
        </w:rPr>
        <w:t>s formas de energías asequibles</w:t>
      </w:r>
      <w:r w:rsidR="007A59D9" w:rsidRPr="002311BB">
        <w:rPr>
          <w:rFonts w:ascii="Arial" w:hAnsi="Arial" w:cs="Arial"/>
          <w:sz w:val="22"/>
          <w:szCs w:val="22"/>
        </w:rPr>
        <w:t xml:space="preserve"> </w:t>
      </w:r>
      <w:sdt>
        <w:sdtPr>
          <w:rPr>
            <w:rFonts w:ascii="Arial" w:hAnsi="Arial" w:cs="Arial"/>
            <w:sz w:val="22"/>
            <w:szCs w:val="22"/>
          </w:rPr>
          <w:id w:val="-1631232725"/>
          <w:citation/>
        </w:sdtPr>
        <w:sdtEndPr/>
        <w:sdtContent>
          <w:r w:rsidR="00672478" w:rsidRPr="002311BB">
            <w:rPr>
              <w:rFonts w:ascii="Arial" w:hAnsi="Arial" w:cs="Arial"/>
              <w:sz w:val="22"/>
              <w:szCs w:val="22"/>
            </w:rPr>
            <w:fldChar w:fldCharType="begin"/>
          </w:r>
          <w:r w:rsidR="00672478" w:rsidRPr="002311BB">
            <w:rPr>
              <w:rFonts w:ascii="Arial" w:hAnsi="Arial" w:cs="Arial"/>
              <w:sz w:val="22"/>
              <w:szCs w:val="22"/>
            </w:rPr>
            <w:instrText xml:space="preserve"> CITATION Glo16 \l 2058 </w:instrText>
          </w:r>
          <w:r w:rsidR="00672478" w:rsidRPr="002311BB">
            <w:rPr>
              <w:rFonts w:ascii="Arial" w:hAnsi="Arial" w:cs="Arial"/>
              <w:sz w:val="22"/>
              <w:szCs w:val="22"/>
            </w:rPr>
            <w:fldChar w:fldCharType="separate"/>
          </w:r>
          <w:r w:rsidR="00672478" w:rsidRPr="002311BB">
            <w:rPr>
              <w:rFonts w:ascii="Arial" w:hAnsi="Arial" w:cs="Arial"/>
              <w:noProof/>
              <w:sz w:val="22"/>
              <w:szCs w:val="22"/>
            </w:rPr>
            <w:t>(Globalgoals, 2016)</w:t>
          </w:r>
          <w:r w:rsidR="00672478" w:rsidRPr="002311BB">
            <w:rPr>
              <w:rFonts w:ascii="Arial" w:hAnsi="Arial" w:cs="Arial"/>
              <w:sz w:val="22"/>
              <w:szCs w:val="22"/>
            </w:rPr>
            <w:fldChar w:fldCharType="end"/>
          </w:r>
        </w:sdtContent>
      </w:sdt>
      <w:r w:rsidR="00672478" w:rsidRPr="002311BB">
        <w:rPr>
          <w:rFonts w:ascii="Arial" w:hAnsi="Arial" w:cs="Arial"/>
          <w:sz w:val="22"/>
          <w:szCs w:val="22"/>
        </w:rPr>
        <w:t xml:space="preserve">, </w:t>
      </w:r>
      <w:r w:rsidR="00577AE9" w:rsidRPr="002311BB">
        <w:rPr>
          <w:rFonts w:ascii="Arial" w:hAnsi="Arial" w:cs="Arial"/>
          <w:sz w:val="22"/>
          <w:szCs w:val="22"/>
        </w:rPr>
        <w:t xml:space="preserve">el diseño de </w:t>
      </w:r>
      <w:r w:rsidR="002031F3" w:rsidRPr="002311BB">
        <w:rPr>
          <w:rFonts w:ascii="Arial" w:hAnsi="Arial" w:cs="Arial"/>
          <w:sz w:val="22"/>
          <w:szCs w:val="22"/>
        </w:rPr>
        <w:t>mejores herramientas para el diagnóstico y tratamiento de enfermedades</w:t>
      </w:r>
      <w:r w:rsidR="007A59D9" w:rsidRPr="002311BB">
        <w:rPr>
          <w:rFonts w:ascii="Arial" w:hAnsi="Arial" w:cs="Arial"/>
          <w:sz w:val="22"/>
          <w:szCs w:val="22"/>
        </w:rPr>
        <w:t>,</w:t>
      </w:r>
      <w:r w:rsidR="002031F3" w:rsidRPr="002311BB">
        <w:rPr>
          <w:rFonts w:ascii="Arial" w:hAnsi="Arial" w:cs="Arial"/>
          <w:sz w:val="22"/>
          <w:szCs w:val="22"/>
        </w:rPr>
        <w:t xml:space="preserve"> el cuidado del planeta</w:t>
      </w:r>
      <w:r w:rsidR="007A59D9" w:rsidRPr="002311BB">
        <w:rPr>
          <w:rFonts w:ascii="Arial" w:hAnsi="Arial" w:cs="Arial"/>
          <w:sz w:val="22"/>
          <w:szCs w:val="22"/>
        </w:rPr>
        <w:t xml:space="preserve"> </w:t>
      </w:r>
      <w:r w:rsidR="002031F3" w:rsidRPr="002311BB">
        <w:rPr>
          <w:rFonts w:ascii="Arial" w:hAnsi="Arial" w:cs="Arial"/>
          <w:sz w:val="22"/>
          <w:szCs w:val="22"/>
        </w:rPr>
        <w:t xml:space="preserve"> en la prevención y mitigación  de impactos de las tareas realizadas por el hombre,</w:t>
      </w:r>
      <w:r w:rsidR="00577AE9" w:rsidRPr="002311BB">
        <w:rPr>
          <w:rFonts w:ascii="Arial" w:hAnsi="Arial" w:cs="Arial"/>
          <w:sz w:val="22"/>
          <w:szCs w:val="22"/>
        </w:rPr>
        <w:t xml:space="preserve"> </w:t>
      </w:r>
      <w:r w:rsidR="002031F3" w:rsidRPr="002311BB">
        <w:rPr>
          <w:rFonts w:ascii="Arial" w:hAnsi="Arial" w:cs="Arial"/>
          <w:sz w:val="22"/>
          <w:szCs w:val="22"/>
        </w:rPr>
        <w:t>y el desarrollo de herramientas para la investigación</w:t>
      </w:r>
      <w:r w:rsidR="007067AB" w:rsidRPr="002311BB">
        <w:rPr>
          <w:rFonts w:ascii="Arial" w:hAnsi="Arial" w:cs="Arial"/>
          <w:sz w:val="22"/>
          <w:szCs w:val="22"/>
        </w:rPr>
        <w:t xml:space="preserve">, entre otros, </w:t>
      </w:r>
      <w:sdt>
        <w:sdtPr>
          <w:rPr>
            <w:rFonts w:ascii="Arial" w:hAnsi="Arial" w:cs="Arial"/>
            <w:sz w:val="22"/>
            <w:szCs w:val="22"/>
          </w:rPr>
          <w:id w:val="1426837070"/>
          <w:citation/>
        </w:sdtPr>
        <w:sdtEndPr/>
        <w:sdtContent>
          <w:r w:rsidR="002311BB" w:rsidRPr="002311BB">
            <w:rPr>
              <w:rFonts w:ascii="Arial" w:hAnsi="Arial" w:cs="Arial"/>
              <w:sz w:val="22"/>
              <w:szCs w:val="22"/>
            </w:rPr>
            <w:fldChar w:fldCharType="begin"/>
          </w:r>
          <w:r w:rsidR="002311BB" w:rsidRPr="002311BB">
            <w:rPr>
              <w:rFonts w:ascii="Arial" w:hAnsi="Arial" w:cs="Arial"/>
              <w:sz w:val="22"/>
              <w:szCs w:val="22"/>
            </w:rPr>
            <w:instrText xml:space="preserve"> CITATION Eng16 \l 2058 </w:instrText>
          </w:r>
          <w:r w:rsidR="002311BB" w:rsidRPr="002311BB">
            <w:rPr>
              <w:rFonts w:ascii="Arial" w:hAnsi="Arial" w:cs="Arial"/>
              <w:sz w:val="22"/>
              <w:szCs w:val="22"/>
            </w:rPr>
            <w:fldChar w:fldCharType="separate"/>
          </w:r>
          <w:r w:rsidR="002311BB" w:rsidRPr="002311BB">
            <w:rPr>
              <w:rFonts w:ascii="Arial" w:hAnsi="Arial" w:cs="Arial"/>
              <w:noProof/>
              <w:sz w:val="22"/>
              <w:szCs w:val="22"/>
            </w:rPr>
            <w:t>(Engineeringchallenges, 2016)</w:t>
          </w:r>
          <w:r w:rsidR="002311BB" w:rsidRPr="002311BB">
            <w:rPr>
              <w:rFonts w:ascii="Arial" w:hAnsi="Arial" w:cs="Arial"/>
              <w:sz w:val="22"/>
              <w:szCs w:val="22"/>
            </w:rPr>
            <w:fldChar w:fldCharType="end"/>
          </w:r>
        </w:sdtContent>
      </w:sdt>
      <w:r w:rsidR="007067AB" w:rsidRPr="002311BB">
        <w:rPr>
          <w:rFonts w:ascii="Arial" w:hAnsi="Arial" w:cs="Arial"/>
          <w:sz w:val="22"/>
          <w:szCs w:val="22"/>
        </w:rPr>
        <w:t xml:space="preserve">. </w:t>
      </w:r>
      <w:r w:rsidR="001D08A4" w:rsidRPr="002311BB">
        <w:rPr>
          <w:rFonts w:ascii="Arial" w:hAnsi="Arial" w:cs="Arial"/>
          <w:sz w:val="22"/>
          <w:szCs w:val="22"/>
        </w:rPr>
        <w:t xml:space="preserve">Por lo anterior, el análisis de la Deserción en Ingeniería es de gran relevancia en la Educación Superior, teniendo en cuenta la importancia de la formación de profesionales en éste campo de conocimiento, en el desarrollo de la sociedad moderna.  </w:t>
      </w:r>
    </w:p>
    <w:p w:rsidR="007067AB" w:rsidRDefault="007067AB" w:rsidP="00D91D8B">
      <w:pPr>
        <w:jc w:val="both"/>
        <w:rPr>
          <w:rFonts w:ascii="Arial" w:hAnsi="Arial" w:cs="Arial"/>
          <w:sz w:val="22"/>
          <w:szCs w:val="22"/>
        </w:rPr>
      </w:pPr>
    </w:p>
    <w:p w:rsidR="00561B46" w:rsidRDefault="007A59D9" w:rsidP="00D91D8B">
      <w:pPr>
        <w:jc w:val="both"/>
        <w:rPr>
          <w:rFonts w:ascii="Arial" w:hAnsi="Arial" w:cs="Arial"/>
          <w:sz w:val="22"/>
          <w:szCs w:val="22"/>
        </w:rPr>
      </w:pPr>
      <w:r>
        <w:rPr>
          <w:rFonts w:ascii="Arial" w:hAnsi="Arial" w:cs="Arial"/>
          <w:sz w:val="22"/>
          <w:szCs w:val="22"/>
        </w:rPr>
        <w:t>E</w:t>
      </w:r>
      <w:r w:rsidR="00D91D8B" w:rsidRPr="0052430E">
        <w:rPr>
          <w:rFonts w:ascii="Arial" w:hAnsi="Arial" w:cs="Arial"/>
          <w:sz w:val="22"/>
          <w:szCs w:val="22"/>
        </w:rPr>
        <w:t>ste artículo propone una metodología para evaluar y priorizar las variables asociadas con cada uno de los factores relacionados con la deserción, a partir de información recopilada sobre los conceptos que la definen, los modelos utilizados para su análisis, los factores que intervienen y las variables consideradas en cada uno de los factores.</w:t>
      </w:r>
      <w:r w:rsidR="00561B46">
        <w:rPr>
          <w:rFonts w:ascii="Arial" w:hAnsi="Arial" w:cs="Arial"/>
          <w:sz w:val="22"/>
          <w:szCs w:val="22"/>
        </w:rPr>
        <w:t xml:space="preserve"> </w:t>
      </w:r>
      <w:r w:rsidR="00FF6334">
        <w:rPr>
          <w:rFonts w:ascii="Arial" w:hAnsi="Arial" w:cs="Arial"/>
          <w:sz w:val="22"/>
          <w:szCs w:val="22"/>
        </w:rPr>
        <w:t xml:space="preserve">Aunque el análisis realizado ha tenido como punto de partida el interés por disminuir la deserción en los programas de Ingeniería a partir del conocimiento de sus causas, los resultados aquí presentados pueden ser utilizados en propuestas </w:t>
      </w:r>
      <w:r w:rsidR="00FF6334">
        <w:rPr>
          <w:rFonts w:ascii="Arial" w:hAnsi="Arial" w:cs="Arial"/>
          <w:sz w:val="22"/>
          <w:szCs w:val="22"/>
        </w:rPr>
        <w:lastRenderedPageBreak/>
        <w:t>similares enfocadas en otras áreas de conocimiento.</w:t>
      </w:r>
    </w:p>
    <w:p w:rsidR="00577AE9" w:rsidRPr="0052430E" w:rsidRDefault="00577AE9" w:rsidP="00D91D8B">
      <w:pPr>
        <w:jc w:val="both"/>
        <w:rPr>
          <w:rFonts w:ascii="Arial" w:hAnsi="Arial" w:cs="Arial"/>
          <w:sz w:val="22"/>
          <w:szCs w:val="22"/>
        </w:rPr>
      </w:pPr>
    </w:p>
    <w:p w:rsidR="009A5F00" w:rsidRPr="0052430E" w:rsidRDefault="00577AE9" w:rsidP="009A5F00">
      <w:pPr>
        <w:jc w:val="both"/>
        <w:rPr>
          <w:rFonts w:ascii="Arial" w:hAnsi="Arial" w:cs="Arial"/>
          <w:sz w:val="22"/>
          <w:szCs w:val="22"/>
        </w:rPr>
      </w:pPr>
      <w:r>
        <w:rPr>
          <w:rFonts w:ascii="Arial" w:hAnsi="Arial" w:cs="Arial"/>
          <w:sz w:val="22"/>
          <w:szCs w:val="22"/>
        </w:rPr>
        <w:t>Esta contribución</w:t>
      </w:r>
      <w:r w:rsidRPr="0052430E">
        <w:rPr>
          <w:rFonts w:ascii="Arial" w:hAnsi="Arial" w:cs="Arial"/>
          <w:sz w:val="22"/>
          <w:szCs w:val="22"/>
        </w:rPr>
        <w:t xml:space="preserve"> hace parte de un proyecto de investigación enfocado a diseñar un Sistema de Gestión de Análisis de la Deserción en los programas de Ingeniería de la Universidad Pedagógica y Tecnológica de Colombia (UPTC), Sede Sogamoso. </w:t>
      </w:r>
      <w:r w:rsidRPr="006727BB">
        <w:rPr>
          <w:rFonts w:ascii="Arial" w:hAnsi="Arial" w:cs="Arial"/>
          <w:sz w:val="22"/>
          <w:szCs w:val="22"/>
        </w:rPr>
        <w:t>Este es un caso de estudio interesante por presentar niveles de deser</w:t>
      </w:r>
      <w:r w:rsidR="001D08A4" w:rsidRPr="006727BB">
        <w:rPr>
          <w:rFonts w:ascii="Arial" w:hAnsi="Arial" w:cs="Arial"/>
          <w:sz w:val="22"/>
          <w:szCs w:val="22"/>
        </w:rPr>
        <w:t xml:space="preserve">ción </w:t>
      </w:r>
      <w:r w:rsidR="00C12C4A" w:rsidRPr="006727BB">
        <w:rPr>
          <w:rFonts w:ascii="Arial" w:hAnsi="Arial" w:cs="Arial"/>
          <w:sz w:val="22"/>
          <w:szCs w:val="22"/>
        </w:rPr>
        <w:t>cercanos</w:t>
      </w:r>
      <w:r w:rsidR="001D08A4" w:rsidRPr="006727BB">
        <w:rPr>
          <w:rFonts w:ascii="Arial" w:hAnsi="Arial" w:cs="Arial"/>
          <w:sz w:val="22"/>
          <w:szCs w:val="22"/>
        </w:rPr>
        <w:t xml:space="preserve"> </w:t>
      </w:r>
      <w:r w:rsidR="00C12C4A" w:rsidRPr="006727BB">
        <w:rPr>
          <w:rFonts w:ascii="Arial" w:hAnsi="Arial" w:cs="Arial"/>
          <w:sz w:val="22"/>
          <w:szCs w:val="22"/>
        </w:rPr>
        <w:t>a</w:t>
      </w:r>
      <w:r w:rsidR="001D08A4" w:rsidRPr="006727BB">
        <w:rPr>
          <w:rFonts w:ascii="Arial" w:hAnsi="Arial" w:cs="Arial"/>
          <w:sz w:val="22"/>
          <w:szCs w:val="22"/>
        </w:rPr>
        <w:t>l promedio nacional</w:t>
      </w:r>
      <w:r w:rsidRPr="006727BB">
        <w:rPr>
          <w:rFonts w:ascii="Arial" w:hAnsi="Arial" w:cs="Arial"/>
          <w:sz w:val="22"/>
          <w:szCs w:val="22"/>
        </w:rPr>
        <w:t xml:space="preserve"> </w:t>
      </w:r>
      <w:r w:rsidRPr="006727BB">
        <w:rPr>
          <w:rFonts w:ascii="Arial" w:hAnsi="Arial" w:cs="Arial"/>
          <w:sz w:val="22"/>
          <w:szCs w:val="22"/>
        </w:rPr>
        <w:sym w:font="Symbol" w:char="F02D"/>
      </w:r>
      <w:r w:rsidRPr="006727BB">
        <w:rPr>
          <w:rFonts w:ascii="Arial" w:hAnsi="Arial" w:cs="Arial"/>
          <w:sz w:val="22"/>
          <w:szCs w:val="22"/>
        </w:rPr>
        <w:t>para el año 201</w:t>
      </w:r>
      <w:r w:rsidR="009A5F00" w:rsidRPr="006727BB">
        <w:rPr>
          <w:rFonts w:ascii="Arial" w:hAnsi="Arial" w:cs="Arial"/>
          <w:sz w:val="22"/>
          <w:szCs w:val="22"/>
        </w:rPr>
        <w:t>3</w:t>
      </w:r>
      <w:r w:rsidRPr="006727BB">
        <w:rPr>
          <w:rFonts w:ascii="Arial" w:hAnsi="Arial" w:cs="Arial"/>
          <w:sz w:val="22"/>
          <w:szCs w:val="22"/>
        </w:rPr>
        <w:t xml:space="preserve">, el porcentaje de deserción </w:t>
      </w:r>
      <w:r w:rsidR="00420920">
        <w:rPr>
          <w:rFonts w:ascii="Arial" w:hAnsi="Arial" w:cs="Arial"/>
          <w:sz w:val="22"/>
          <w:szCs w:val="22"/>
        </w:rPr>
        <w:t xml:space="preserve">por cohorte </w:t>
      </w:r>
      <w:r w:rsidRPr="006727BB">
        <w:rPr>
          <w:rFonts w:ascii="Arial" w:hAnsi="Arial" w:cs="Arial"/>
          <w:sz w:val="22"/>
          <w:szCs w:val="22"/>
        </w:rPr>
        <w:t xml:space="preserve">de los programas de Ingeniería de la UPTC Sogamoso correspondió al </w:t>
      </w:r>
      <w:r w:rsidR="009A5F00" w:rsidRPr="006727BB">
        <w:rPr>
          <w:rFonts w:ascii="Arial" w:hAnsi="Arial" w:cs="Arial"/>
          <w:sz w:val="22"/>
          <w:szCs w:val="22"/>
        </w:rPr>
        <w:t>41.04</w:t>
      </w:r>
      <w:r w:rsidR="00C12C4A" w:rsidRPr="006727BB">
        <w:rPr>
          <w:rFonts w:ascii="Arial" w:hAnsi="Arial" w:cs="Arial"/>
          <w:sz w:val="22"/>
          <w:szCs w:val="22"/>
        </w:rPr>
        <w:t>%</w:t>
      </w:r>
      <w:r w:rsidR="00420920">
        <w:rPr>
          <w:rFonts w:ascii="Arial" w:hAnsi="Arial" w:cs="Arial"/>
          <w:sz w:val="22"/>
          <w:szCs w:val="22"/>
        </w:rPr>
        <w:t xml:space="preserve"> y la deserción anual fue del </w:t>
      </w:r>
      <w:r w:rsidR="006405F5">
        <w:rPr>
          <w:rFonts w:ascii="Arial" w:hAnsi="Arial" w:cs="Arial"/>
          <w:sz w:val="22"/>
          <w:szCs w:val="22"/>
        </w:rPr>
        <w:t>2.5%, sin embargo para el año 2014 fue del 4.1%</w:t>
      </w:r>
      <w:r w:rsidR="00CE043B">
        <w:rPr>
          <w:rFonts w:ascii="Arial" w:hAnsi="Arial" w:cs="Arial"/>
          <w:sz w:val="22"/>
          <w:szCs w:val="22"/>
        </w:rPr>
        <w:t xml:space="preserve"> (UPTC, 2016)</w:t>
      </w:r>
      <w:r w:rsidR="00D50443">
        <w:rPr>
          <w:rFonts w:ascii="Arial" w:hAnsi="Arial" w:cs="Arial"/>
          <w:sz w:val="22"/>
          <w:szCs w:val="22"/>
        </w:rPr>
        <w:t>, notándose un incremento</w:t>
      </w:r>
      <w:r w:rsidRPr="006727BB">
        <w:rPr>
          <w:rFonts w:ascii="Arial" w:hAnsi="Arial" w:cs="Arial"/>
          <w:sz w:val="22"/>
          <w:szCs w:val="22"/>
        </w:rPr>
        <w:sym w:font="Symbol" w:char="F02D"/>
      </w:r>
      <w:r w:rsidR="006727BB" w:rsidRPr="006727BB">
        <w:rPr>
          <w:rFonts w:ascii="Arial" w:hAnsi="Arial" w:cs="Arial"/>
          <w:sz w:val="22"/>
          <w:szCs w:val="22"/>
        </w:rPr>
        <w:t>.</w:t>
      </w:r>
      <w:r w:rsidR="006727BB">
        <w:rPr>
          <w:rFonts w:ascii="Arial" w:hAnsi="Arial" w:cs="Arial"/>
          <w:color w:val="FF0000"/>
          <w:sz w:val="22"/>
          <w:szCs w:val="22"/>
        </w:rPr>
        <w:t xml:space="preserve"> </w:t>
      </w:r>
      <w:r w:rsidR="002A6EB6" w:rsidRPr="00850906">
        <w:rPr>
          <w:rFonts w:ascii="Arial" w:hAnsi="Arial" w:cs="Arial"/>
          <w:sz w:val="22"/>
          <w:szCs w:val="22"/>
        </w:rPr>
        <w:t xml:space="preserve">Los datos relacionados con la deserción por cohorte se obtuvieron de </w:t>
      </w:r>
      <w:proofErr w:type="spellStart"/>
      <w:r w:rsidR="002A6EB6" w:rsidRPr="00850906">
        <w:rPr>
          <w:rFonts w:ascii="Arial" w:hAnsi="Arial" w:cs="Arial"/>
          <w:sz w:val="22"/>
          <w:szCs w:val="22"/>
        </w:rPr>
        <w:t>SPADIES</w:t>
      </w:r>
      <w:proofErr w:type="spellEnd"/>
      <w:r w:rsidR="002A6EB6" w:rsidRPr="00850906">
        <w:rPr>
          <w:rFonts w:ascii="Arial" w:hAnsi="Arial" w:cs="Arial"/>
          <w:sz w:val="22"/>
          <w:szCs w:val="22"/>
        </w:rPr>
        <w:t xml:space="preserve"> como el promedio de los valores correspondientes al décimo semestre </w:t>
      </w:r>
      <w:r w:rsidR="00B27A88" w:rsidRPr="00850906">
        <w:rPr>
          <w:rFonts w:ascii="Arial" w:hAnsi="Arial" w:cs="Arial"/>
          <w:sz w:val="22"/>
          <w:szCs w:val="22"/>
        </w:rPr>
        <w:t>de los estudiantes que ingresaron en el año 2009 a los diferentes programas de ingeniería de la UPTC Sogamoso.</w:t>
      </w:r>
    </w:p>
    <w:p w:rsidR="009A5F00" w:rsidRDefault="009A5F00" w:rsidP="00D91D8B">
      <w:pPr>
        <w:jc w:val="both"/>
        <w:rPr>
          <w:rFonts w:ascii="Arial" w:hAnsi="Arial" w:cs="Arial"/>
          <w:sz w:val="22"/>
          <w:szCs w:val="22"/>
        </w:rPr>
      </w:pPr>
    </w:p>
    <w:p w:rsidR="009F0693" w:rsidRDefault="009F0693" w:rsidP="00D91D8B">
      <w:pPr>
        <w:jc w:val="both"/>
        <w:rPr>
          <w:rFonts w:ascii="Arial" w:hAnsi="Arial" w:cs="Arial"/>
          <w:sz w:val="22"/>
          <w:szCs w:val="22"/>
        </w:rPr>
      </w:pPr>
    </w:p>
    <w:p w:rsidR="00D91D8B" w:rsidRPr="0052430E" w:rsidRDefault="00D91D8B" w:rsidP="00D91D8B">
      <w:pPr>
        <w:pStyle w:val="Prrafodelista"/>
        <w:numPr>
          <w:ilvl w:val="1"/>
          <w:numId w:val="1"/>
        </w:numPr>
        <w:jc w:val="both"/>
        <w:rPr>
          <w:rFonts w:ascii="Arial" w:hAnsi="Arial" w:cs="Arial"/>
          <w:b/>
        </w:rPr>
      </w:pPr>
      <w:r w:rsidRPr="0052430E">
        <w:rPr>
          <w:rFonts w:ascii="Arial" w:hAnsi="Arial" w:cs="Arial"/>
          <w:b/>
        </w:rPr>
        <w:t>Método</w:t>
      </w:r>
    </w:p>
    <w:p w:rsidR="00D91D8B" w:rsidRPr="0052430E" w:rsidRDefault="00D91D8B" w:rsidP="00D91D8B">
      <w:pPr>
        <w:pStyle w:val="Prrafodelista"/>
        <w:ind w:left="360"/>
        <w:jc w:val="both"/>
        <w:rPr>
          <w:rFonts w:ascii="Arial" w:hAnsi="Arial" w:cs="Arial"/>
          <w:b/>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Para la definición de la metodología de priorización de variables asociadas a los factores de deserción: individual, académico, institucional y socioeconómico, se partió de la revisión de la literatura, para lo cual se consultaron trabajos relacionados con las palabras claves en Inglés: </w:t>
      </w:r>
      <w:proofErr w:type="spellStart"/>
      <w:r w:rsidRPr="0052430E">
        <w:rPr>
          <w:rFonts w:ascii="Arial" w:hAnsi="Arial" w:cs="Arial"/>
          <w:i/>
          <w:sz w:val="22"/>
          <w:szCs w:val="22"/>
        </w:rPr>
        <w:t>Student</w:t>
      </w:r>
      <w:proofErr w:type="spellEnd"/>
      <w:r w:rsidRPr="0052430E">
        <w:rPr>
          <w:rFonts w:ascii="Arial" w:hAnsi="Arial" w:cs="Arial"/>
          <w:i/>
          <w:sz w:val="22"/>
          <w:szCs w:val="22"/>
        </w:rPr>
        <w:t xml:space="preserve"> </w:t>
      </w:r>
      <w:proofErr w:type="spellStart"/>
      <w:r w:rsidRPr="0052430E">
        <w:rPr>
          <w:rFonts w:ascii="Arial" w:hAnsi="Arial" w:cs="Arial"/>
          <w:i/>
          <w:sz w:val="22"/>
          <w:szCs w:val="22"/>
        </w:rPr>
        <w:t>Dropout</w:t>
      </w:r>
      <w:proofErr w:type="spellEnd"/>
      <w:r w:rsidRPr="0052430E">
        <w:rPr>
          <w:rFonts w:ascii="Arial" w:hAnsi="Arial" w:cs="Arial"/>
          <w:i/>
          <w:sz w:val="22"/>
          <w:szCs w:val="22"/>
        </w:rPr>
        <w:t xml:space="preserve">, </w:t>
      </w:r>
      <w:proofErr w:type="spellStart"/>
      <w:r w:rsidRPr="0052430E">
        <w:rPr>
          <w:rFonts w:ascii="Arial" w:hAnsi="Arial" w:cs="Arial"/>
          <w:i/>
          <w:sz w:val="22"/>
          <w:szCs w:val="22"/>
        </w:rPr>
        <w:t>Reasons</w:t>
      </w:r>
      <w:proofErr w:type="spellEnd"/>
      <w:r w:rsidRPr="0052430E">
        <w:rPr>
          <w:rFonts w:ascii="Arial" w:hAnsi="Arial" w:cs="Arial"/>
          <w:i/>
          <w:sz w:val="22"/>
          <w:szCs w:val="22"/>
        </w:rPr>
        <w:t xml:space="preserve"> for </w:t>
      </w:r>
      <w:proofErr w:type="spellStart"/>
      <w:r w:rsidRPr="0052430E">
        <w:rPr>
          <w:rFonts w:ascii="Arial" w:hAnsi="Arial" w:cs="Arial"/>
          <w:i/>
          <w:sz w:val="22"/>
          <w:szCs w:val="22"/>
        </w:rPr>
        <w:t>Dropout</w:t>
      </w:r>
      <w:proofErr w:type="spellEnd"/>
      <w:r w:rsidRPr="0052430E">
        <w:rPr>
          <w:rFonts w:ascii="Arial" w:hAnsi="Arial" w:cs="Arial"/>
          <w:i/>
          <w:sz w:val="22"/>
          <w:szCs w:val="22"/>
        </w:rPr>
        <w:t xml:space="preserve">, </w:t>
      </w:r>
      <w:proofErr w:type="spellStart"/>
      <w:r w:rsidRPr="0052430E">
        <w:rPr>
          <w:rFonts w:ascii="Arial" w:hAnsi="Arial" w:cs="Arial"/>
          <w:i/>
          <w:sz w:val="22"/>
          <w:szCs w:val="22"/>
        </w:rPr>
        <w:t>Engineering</w:t>
      </w:r>
      <w:proofErr w:type="spellEnd"/>
      <w:r w:rsidRPr="0052430E">
        <w:rPr>
          <w:rFonts w:ascii="Arial" w:hAnsi="Arial" w:cs="Arial"/>
          <w:i/>
          <w:sz w:val="22"/>
          <w:szCs w:val="22"/>
        </w:rPr>
        <w:t xml:space="preserve"> </w:t>
      </w:r>
      <w:proofErr w:type="spellStart"/>
      <w:r w:rsidRPr="0052430E">
        <w:rPr>
          <w:rFonts w:ascii="Arial" w:hAnsi="Arial" w:cs="Arial"/>
          <w:i/>
          <w:sz w:val="22"/>
          <w:szCs w:val="22"/>
        </w:rPr>
        <w:t>programs</w:t>
      </w:r>
      <w:proofErr w:type="spellEnd"/>
      <w:r w:rsidRPr="0052430E">
        <w:rPr>
          <w:rFonts w:ascii="Arial" w:hAnsi="Arial" w:cs="Arial"/>
          <w:i/>
          <w:sz w:val="22"/>
          <w:szCs w:val="22"/>
        </w:rPr>
        <w:t xml:space="preserve">, Management </w:t>
      </w:r>
      <w:proofErr w:type="spellStart"/>
      <w:r w:rsidRPr="0052430E">
        <w:rPr>
          <w:rFonts w:ascii="Arial" w:hAnsi="Arial" w:cs="Arial"/>
          <w:i/>
          <w:sz w:val="22"/>
          <w:szCs w:val="22"/>
        </w:rPr>
        <w:t>systems</w:t>
      </w:r>
      <w:proofErr w:type="spellEnd"/>
      <w:r w:rsidRPr="0052430E">
        <w:rPr>
          <w:rFonts w:ascii="Arial" w:hAnsi="Arial" w:cs="Arial"/>
          <w:sz w:val="22"/>
          <w:szCs w:val="22"/>
        </w:rPr>
        <w:t xml:space="preserve">, en diferentes bases de datos como: </w:t>
      </w:r>
      <w:proofErr w:type="spellStart"/>
      <w:r w:rsidRPr="0052430E">
        <w:rPr>
          <w:rFonts w:ascii="Arial" w:hAnsi="Arial" w:cs="Arial"/>
          <w:sz w:val="22"/>
          <w:szCs w:val="22"/>
        </w:rPr>
        <w:t>Scielo</w:t>
      </w:r>
      <w:proofErr w:type="spellEnd"/>
      <w:r w:rsidRPr="0052430E">
        <w:rPr>
          <w:rFonts w:ascii="Arial" w:hAnsi="Arial" w:cs="Arial"/>
          <w:sz w:val="22"/>
          <w:szCs w:val="22"/>
        </w:rPr>
        <w:t xml:space="preserve">, Science Direct y </w:t>
      </w:r>
      <w:proofErr w:type="spellStart"/>
      <w:r w:rsidRPr="0052430E">
        <w:rPr>
          <w:rFonts w:ascii="Arial" w:hAnsi="Arial" w:cs="Arial"/>
          <w:sz w:val="22"/>
          <w:szCs w:val="22"/>
        </w:rPr>
        <w:t>Academic</w:t>
      </w:r>
      <w:proofErr w:type="spellEnd"/>
      <w:r w:rsidRPr="0052430E">
        <w:rPr>
          <w:rFonts w:ascii="Arial" w:hAnsi="Arial" w:cs="Arial"/>
          <w:sz w:val="22"/>
          <w:szCs w:val="22"/>
        </w:rPr>
        <w:t xml:space="preserve">. Una vez recolectada la información se procedió a clasificarla en tres grupos: </w:t>
      </w:r>
      <w:r w:rsidRPr="0052430E">
        <w:rPr>
          <w:rFonts w:ascii="Arial" w:hAnsi="Arial" w:cs="Arial"/>
          <w:i/>
          <w:sz w:val="22"/>
          <w:szCs w:val="22"/>
        </w:rPr>
        <w:t>i)</w:t>
      </w:r>
      <w:r w:rsidRPr="0052430E">
        <w:rPr>
          <w:rFonts w:ascii="Arial" w:hAnsi="Arial" w:cs="Arial"/>
          <w:sz w:val="22"/>
          <w:szCs w:val="22"/>
        </w:rPr>
        <w:t xml:space="preserve"> conceptos, </w:t>
      </w:r>
      <w:r w:rsidRPr="0052430E">
        <w:rPr>
          <w:rFonts w:ascii="Arial" w:hAnsi="Arial" w:cs="Arial"/>
          <w:i/>
          <w:sz w:val="22"/>
          <w:szCs w:val="22"/>
        </w:rPr>
        <w:t>ii)</w:t>
      </w:r>
      <w:r w:rsidRPr="0052430E">
        <w:rPr>
          <w:rFonts w:ascii="Arial" w:hAnsi="Arial" w:cs="Arial"/>
          <w:sz w:val="22"/>
          <w:szCs w:val="22"/>
        </w:rPr>
        <w:t xml:space="preserve"> modelos y </w:t>
      </w:r>
      <w:r w:rsidRPr="0052430E">
        <w:rPr>
          <w:rFonts w:ascii="Arial" w:hAnsi="Arial" w:cs="Arial"/>
          <w:i/>
          <w:sz w:val="22"/>
          <w:szCs w:val="22"/>
        </w:rPr>
        <w:t>iii)</w:t>
      </w:r>
      <w:r w:rsidRPr="0052430E">
        <w:rPr>
          <w:rFonts w:ascii="Arial" w:hAnsi="Arial" w:cs="Arial"/>
          <w:sz w:val="22"/>
          <w:szCs w:val="22"/>
        </w:rPr>
        <w:t xml:space="preserve"> factores y variables de deserción.</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A continuación se analizó la literatura relacionada con los modelos de deserción que se han estudiado, encontrándose estudios desde el año 1970 hasta el año 2008. La clasificación se realizó </w:t>
      </w:r>
      <w:r w:rsidRPr="0052430E">
        <w:rPr>
          <w:rFonts w:ascii="Arial" w:hAnsi="Arial" w:cs="Arial"/>
          <w:sz w:val="22"/>
          <w:szCs w:val="22"/>
        </w:rPr>
        <w:lastRenderedPageBreak/>
        <w:t>cronológicamente asociando cada autor al tipo de modelo estudiando y el año correspondiente, con el fin de identificar la evolución que han tenido los modelos de deserción y la tendencia en los últimos años.</w:t>
      </w:r>
    </w:p>
    <w:p w:rsidR="00D91D8B" w:rsidRPr="0052430E" w:rsidRDefault="00D91D8B" w:rsidP="00D91D8B">
      <w:pPr>
        <w:jc w:val="both"/>
        <w:rPr>
          <w:rFonts w:ascii="Arial" w:hAnsi="Arial" w:cs="Arial"/>
          <w:sz w:val="22"/>
          <w:szCs w:val="22"/>
        </w:rPr>
      </w:pPr>
    </w:p>
    <w:p w:rsidR="00D91D8B" w:rsidRDefault="00D91D8B" w:rsidP="00D91D8B">
      <w:pPr>
        <w:jc w:val="both"/>
        <w:rPr>
          <w:rFonts w:ascii="Arial" w:hAnsi="Arial" w:cs="Arial"/>
          <w:sz w:val="22"/>
          <w:szCs w:val="22"/>
        </w:rPr>
      </w:pPr>
      <w:r w:rsidRPr="0052430E">
        <w:rPr>
          <w:rFonts w:ascii="Arial" w:hAnsi="Arial" w:cs="Arial"/>
          <w:sz w:val="22"/>
          <w:szCs w:val="22"/>
        </w:rPr>
        <w:t>Finalmente, se realizó la clasificación de la literatura de acuerdo con los factores asociados a la deserción: individual, académico, institucional y socioeconómico, con relación a las variables que se han utilizado en los diferentes estudios, utilizando la información de 65 autores.</w:t>
      </w:r>
    </w:p>
    <w:p w:rsidR="00990F19" w:rsidRDefault="00990F19" w:rsidP="00D91D8B">
      <w:pPr>
        <w:jc w:val="both"/>
        <w:rPr>
          <w:rFonts w:ascii="Arial" w:hAnsi="Arial" w:cs="Arial"/>
          <w:sz w:val="22"/>
          <w:szCs w:val="22"/>
        </w:rPr>
      </w:pPr>
    </w:p>
    <w:p w:rsidR="00990F19" w:rsidRDefault="00990F19" w:rsidP="00990F19">
      <w:pPr>
        <w:pStyle w:val="Sinespaciado"/>
        <w:rPr>
          <w:rFonts w:ascii="Arial" w:hAnsi="Arial" w:cs="Arial"/>
          <w:sz w:val="22"/>
          <w:szCs w:val="22"/>
        </w:rPr>
      </w:pPr>
      <w:r w:rsidRPr="0052430E">
        <w:rPr>
          <w:rFonts w:ascii="Arial" w:hAnsi="Arial" w:cs="Arial"/>
          <w:sz w:val="22"/>
          <w:szCs w:val="22"/>
        </w:rPr>
        <w:t>2. La Des</w:t>
      </w:r>
      <w:r w:rsidR="008C6912">
        <w:rPr>
          <w:rFonts w:ascii="Arial" w:hAnsi="Arial" w:cs="Arial"/>
          <w:sz w:val="22"/>
          <w:szCs w:val="22"/>
        </w:rPr>
        <w:t>erción estudiantil, d</w:t>
      </w:r>
      <w:r w:rsidRPr="0052430E">
        <w:rPr>
          <w:rFonts w:ascii="Arial" w:hAnsi="Arial" w:cs="Arial"/>
          <w:sz w:val="22"/>
          <w:szCs w:val="22"/>
        </w:rPr>
        <w:t xml:space="preserve">efiniciones </w:t>
      </w:r>
    </w:p>
    <w:p w:rsidR="00990F19" w:rsidRPr="0052430E" w:rsidRDefault="008C6912" w:rsidP="00990F19">
      <w:pPr>
        <w:pStyle w:val="Sinespaciado"/>
        <w:rPr>
          <w:rFonts w:ascii="Arial" w:hAnsi="Arial" w:cs="Arial"/>
          <w:sz w:val="22"/>
          <w:szCs w:val="22"/>
        </w:rPr>
      </w:pPr>
      <w:proofErr w:type="gramStart"/>
      <w:r>
        <w:rPr>
          <w:rFonts w:ascii="Arial" w:hAnsi="Arial" w:cs="Arial"/>
          <w:sz w:val="22"/>
          <w:szCs w:val="22"/>
        </w:rPr>
        <w:t>y</w:t>
      </w:r>
      <w:proofErr w:type="gramEnd"/>
      <w:r>
        <w:rPr>
          <w:rFonts w:ascii="Arial" w:hAnsi="Arial" w:cs="Arial"/>
          <w:sz w:val="22"/>
          <w:szCs w:val="22"/>
        </w:rPr>
        <w:t xml:space="preserve"> m</w:t>
      </w:r>
      <w:r w:rsidR="00990F19" w:rsidRPr="0052430E">
        <w:rPr>
          <w:rFonts w:ascii="Arial" w:hAnsi="Arial" w:cs="Arial"/>
          <w:sz w:val="22"/>
          <w:szCs w:val="22"/>
        </w:rPr>
        <w:t>odelos</w:t>
      </w:r>
    </w:p>
    <w:p w:rsidR="00990F19" w:rsidRPr="0052430E" w:rsidRDefault="00990F19" w:rsidP="00990F19">
      <w:pPr>
        <w:pStyle w:val="Sinespaciado"/>
        <w:rPr>
          <w:rFonts w:ascii="Arial" w:hAnsi="Arial" w:cs="Arial"/>
          <w:sz w:val="22"/>
          <w:szCs w:val="22"/>
        </w:rPr>
      </w:pPr>
    </w:p>
    <w:p w:rsidR="00990F19" w:rsidRDefault="00990F19" w:rsidP="00990F19">
      <w:pPr>
        <w:jc w:val="both"/>
        <w:rPr>
          <w:rFonts w:ascii="Arial" w:hAnsi="Arial" w:cs="Arial"/>
          <w:sz w:val="22"/>
          <w:szCs w:val="22"/>
        </w:rPr>
      </w:pPr>
      <w:r w:rsidRPr="0052430E">
        <w:rPr>
          <w:rFonts w:ascii="Arial" w:hAnsi="Arial" w:cs="Arial"/>
          <w:sz w:val="22"/>
          <w:szCs w:val="22"/>
        </w:rPr>
        <w:t xml:space="preserve">La deserción estudiantil es un tema que se ha analizado desde las perspectivas: psicológica, social, económica y organizacional, por lo que no existe un concepto unificado de este fenómeno. En la Tabla 1 se presentan algunos conceptos de deserción, estos coinciden en que la deserción estudiantil ‘se relaciona con el abandono de los estudios o la prolongación </w:t>
      </w:r>
      <w:r w:rsidR="00340E5B" w:rsidRPr="0052430E">
        <w:rPr>
          <w:rFonts w:ascii="Arial" w:hAnsi="Arial" w:cs="Arial"/>
          <w:sz w:val="22"/>
          <w:szCs w:val="22"/>
        </w:rPr>
        <w:t>del tiempo establecido para realizarlos, como resultado de la interacción de un conjunto de variables asociadas a diferentes factores’.</w:t>
      </w:r>
    </w:p>
    <w:p w:rsidR="00990F19" w:rsidRDefault="00990F19" w:rsidP="00990F19">
      <w:pPr>
        <w:jc w:val="both"/>
        <w:rPr>
          <w:rFonts w:ascii="Arial" w:hAnsi="Arial" w:cs="Arial"/>
          <w:sz w:val="22"/>
          <w:szCs w:val="22"/>
        </w:rPr>
      </w:pPr>
    </w:p>
    <w:p w:rsidR="00990F19" w:rsidRDefault="00990F19" w:rsidP="00990F19">
      <w:pPr>
        <w:jc w:val="both"/>
        <w:rPr>
          <w:rFonts w:ascii="Arial" w:hAnsi="Arial" w:cs="Arial"/>
          <w:b/>
          <w:sz w:val="22"/>
          <w:szCs w:val="22"/>
        </w:rPr>
      </w:pPr>
      <w:r w:rsidRPr="0052430E">
        <w:rPr>
          <w:rFonts w:ascii="Arial" w:hAnsi="Arial" w:cs="Arial"/>
          <w:b/>
          <w:sz w:val="22"/>
          <w:szCs w:val="22"/>
        </w:rPr>
        <w:t>2.1 Clasificación de la deserción</w:t>
      </w:r>
    </w:p>
    <w:p w:rsidR="00340E5B" w:rsidRDefault="00340E5B" w:rsidP="00990F19">
      <w:pPr>
        <w:jc w:val="both"/>
        <w:rPr>
          <w:rFonts w:ascii="Arial" w:hAnsi="Arial" w:cs="Arial"/>
          <w:b/>
          <w:sz w:val="22"/>
          <w:szCs w:val="22"/>
        </w:rPr>
      </w:pPr>
    </w:p>
    <w:p w:rsidR="00340E5B" w:rsidRDefault="00340E5B" w:rsidP="00990F19">
      <w:pPr>
        <w:jc w:val="both"/>
        <w:rPr>
          <w:rFonts w:ascii="Arial" w:hAnsi="Arial" w:cs="Arial"/>
          <w:sz w:val="22"/>
          <w:szCs w:val="22"/>
        </w:rPr>
      </w:pPr>
      <w:r w:rsidRPr="0052430E">
        <w:rPr>
          <w:rFonts w:ascii="Arial" w:hAnsi="Arial" w:cs="Arial"/>
          <w:sz w:val="22"/>
          <w:szCs w:val="22"/>
        </w:rPr>
        <w:t xml:space="preserve">Para algunos autores como Himmel (2002) y Rodríguez (2011), la deserción desde el punto de vista de la decisión, se puede clasificar como voluntaria o involuntaria. La deserción voluntaria es aquella que puede adoptar la forma de renuncia a la carrera por parte del estudiante o del abandono no informado a la institución de educación superior, mientras que deserción involuntaria es aquella que se produce como una consecuencia de una decisión institucional, fundada en sus reglamentos vigentes, que obliga al alumno a retirarse de los estudios. En este último caso, la deserción puede estar fundamentada en un desempeño académico insuficiente o </w:t>
      </w:r>
      <w:r w:rsidRPr="0052430E">
        <w:rPr>
          <w:rFonts w:ascii="Arial" w:hAnsi="Arial" w:cs="Arial"/>
          <w:sz w:val="22"/>
          <w:szCs w:val="22"/>
        </w:rPr>
        <w:lastRenderedPageBreak/>
        <w:t>responder a razones disciplinarias de diversa índole.</w:t>
      </w:r>
    </w:p>
    <w:p w:rsidR="00340E5B" w:rsidRDefault="00340E5B" w:rsidP="00990F19">
      <w:pPr>
        <w:jc w:val="both"/>
        <w:rPr>
          <w:rFonts w:ascii="Arial" w:hAnsi="Arial" w:cs="Arial"/>
          <w:sz w:val="22"/>
          <w:szCs w:val="22"/>
        </w:rPr>
      </w:pPr>
    </w:p>
    <w:p w:rsidR="004540C5" w:rsidRPr="0052430E" w:rsidRDefault="004540C5" w:rsidP="004540C5">
      <w:pPr>
        <w:jc w:val="both"/>
        <w:rPr>
          <w:rFonts w:ascii="Arial" w:hAnsi="Arial" w:cs="Arial"/>
          <w:sz w:val="20"/>
          <w:szCs w:val="20"/>
        </w:rPr>
      </w:pPr>
      <w:r w:rsidRPr="0052430E">
        <w:rPr>
          <w:rFonts w:ascii="Arial" w:hAnsi="Arial" w:cs="Arial"/>
          <w:b/>
          <w:sz w:val="20"/>
          <w:szCs w:val="20"/>
        </w:rPr>
        <w:t xml:space="preserve">Tabla </w:t>
      </w:r>
      <w:r>
        <w:rPr>
          <w:rFonts w:ascii="Arial" w:hAnsi="Arial" w:cs="Arial"/>
          <w:b/>
          <w:sz w:val="20"/>
          <w:szCs w:val="20"/>
        </w:rPr>
        <w:t>1</w:t>
      </w:r>
      <w:r w:rsidRPr="0052430E">
        <w:rPr>
          <w:rFonts w:ascii="Arial" w:hAnsi="Arial" w:cs="Arial"/>
          <w:b/>
          <w:sz w:val="20"/>
          <w:szCs w:val="20"/>
        </w:rPr>
        <w:t>.</w:t>
      </w:r>
      <w:r w:rsidRPr="0052430E">
        <w:rPr>
          <w:rFonts w:ascii="Arial" w:hAnsi="Arial" w:cs="Arial"/>
          <w:sz w:val="20"/>
          <w:szCs w:val="20"/>
        </w:rPr>
        <w:t xml:space="preserve"> </w:t>
      </w:r>
      <w:r>
        <w:rPr>
          <w:rFonts w:ascii="Arial" w:hAnsi="Arial" w:cs="Arial"/>
          <w:sz w:val="20"/>
          <w:szCs w:val="20"/>
        </w:rPr>
        <w:t>Conceptos de deserción</w:t>
      </w:r>
      <w:r w:rsidRPr="0052430E">
        <w:rPr>
          <w:rFonts w:ascii="Arial" w:hAnsi="Arial" w:cs="Arial"/>
          <w:sz w:val="20"/>
          <w:szCs w:val="20"/>
        </w:rPr>
        <w:t>.</w:t>
      </w:r>
    </w:p>
    <w:p w:rsidR="004540C5" w:rsidRPr="00AA3B36" w:rsidRDefault="004540C5" w:rsidP="00990F19">
      <w:pPr>
        <w:jc w:val="both"/>
        <w:rPr>
          <w:rFonts w:ascii="Arial" w:hAnsi="Arial" w:cs="Arial"/>
          <w:b/>
          <w:sz w:val="20"/>
          <w:szCs w:val="20"/>
        </w:rPr>
      </w:pPr>
    </w:p>
    <w:tbl>
      <w:tblPr>
        <w:tblpPr w:leftFromText="141" w:rightFromText="141" w:vertAnchor="text" w:horzAnchor="margin" w:tblpXSpec="right" w:tblpY="-18"/>
        <w:tblOverlap w:val="never"/>
        <w:tblW w:w="4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2551"/>
      </w:tblGrid>
      <w:tr w:rsidR="00850906" w:rsidRPr="0052430E" w:rsidTr="00850906">
        <w:trPr>
          <w:trHeight w:val="225"/>
        </w:trPr>
        <w:tc>
          <w:tcPr>
            <w:tcW w:w="1844" w:type="dxa"/>
            <w:shd w:val="clear" w:color="auto" w:fill="auto"/>
            <w:vAlign w:val="center"/>
          </w:tcPr>
          <w:p w:rsidR="00850906" w:rsidRPr="0052430E" w:rsidRDefault="00850906" w:rsidP="00850906">
            <w:pPr>
              <w:jc w:val="center"/>
              <w:rPr>
                <w:rFonts w:asciiTheme="minorHAnsi" w:hAnsiTheme="minorHAnsi" w:cstheme="minorHAnsi"/>
                <w:b/>
                <w:bCs/>
                <w:sz w:val="16"/>
                <w:szCs w:val="22"/>
              </w:rPr>
            </w:pPr>
            <w:r w:rsidRPr="0052430E">
              <w:rPr>
                <w:rFonts w:asciiTheme="minorHAnsi" w:hAnsiTheme="minorHAnsi" w:cstheme="minorHAnsi"/>
                <w:b/>
                <w:bCs/>
                <w:sz w:val="16"/>
                <w:szCs w:val="22"/>
              </w:rPr>
              <w:t>Autor y Referencia</w:t>
            </w:r>
          </w:p>
        </w:tc>
        <w:tc>
          <w:tcPr>
            <w:tcW w:w="2551" w:type="dxa"/>
            <w:shd w:val="clear" w:color="auto" w:fill="auto"/>
            <w:vAlign w:val="center"/>
          </w:tcPr>
          <w:p w:rsidR="00850906" w:rsidRPr="0052430E" w:rsidRDefault="00850906" w:rsidP="00850906">
            <w:pPr>
              <w:jc w:val="center"/>
              <w:rPr>
                <w:rFonts w:asciiTheme="minorHAnsi" w:hAnsiTheme="minorHAnsi" w:cstheme="minorHAnsi"/>
                <w:b/>
                <w:bCs/>
                <w:sz w:val="16"/>
                <w:szCs w:val="22"/>
              </w:rPr>
            </w:pPr>
            <w:r w:rsidRPr="0052430E">
              <w:rPr>
                <w:rFonts w:asciiTheme="minorHAnsi" w:hAnsiTheme="minorHAnsi" w:cstheme="minorHAnsi"/>
                <w:b/>
                <w:bCs/>
                <w:sz w:val="16"/>
                <w:szCs w:val="22"/>
              </w:rPr>
              <w:t>Concepto</w:t>
            </w:r>
          </w:p>
        </w:tc>
      </w:tr>
      <w:tr w:rsidR="00850906" w:rsidRPr="0052430E" w:rsidTr="00850906">
        <w:trPr>
          <w:trHeight w:val="901"/>
        </w:trPr>
        <w:tc>
          <w:tcPr>
            <w:tcW w:w="1844" w:type="dxa"/>
            <w:shd w:val="clear" w:color="auto" w:fill="auto"/>
            <w:vAlign w:val="center"/>
          </w:tcPr>
          <w:p w:rsidR="00850906" w:rsidRPr="0052430E" w:rsidRDefault="00850906" w:rsidP="00850906">
            <w:pPr>
              <w:rPr>
                <w:rFonts w:asciiTheme="minorHAnsi" w:hAnsiTheme="minorHAnsi" w:cstheme="minorHAnsi"/>
                <w:sz w:val="16"/>
                <w:szCs w:val="22"/>
                <w:lang w:eastAsia="es-MX"/>
              </w:rPr>
            </w:pPr>
            <w:r w:rsidRPr="0052430E">
              <w:rPr>
                <w:rFonts w:asciiTheme="minorHAnsi" w:hAnsiTheme="minorHAnsi"/>
                <w:bCs/>
                <w:sz w:val="16"/>
                <w:szCs w:val="22"/>
              </w:rPr>
              <w:t>Erika Himmel, (Himmel 2002)</w:t>
            </w:r>
          </w:p>
        </w:tc>
        <w:tc>
          <w:tcPr>
            <w:tcW w:w="2551" w:type="dxa"/>
            <w:shd w:val="clear" w:color="auto" w:fill="auto"/>
            <w:vAlign w:val="center"/>
          </w:tcPr>
          <w:p w:rsidR="00850906" w:rsidRPr="000F343F" w:rsidRDefault="00850906" w:rsidP="00850906">
            <w:pPr>
              <w:autoSpaceDE w:val="0"/>
              <w:autoSpaceDN w:val="0"/>
              <w:adjustRightInd w:val="0"/>
              <w:jc w:val="both"/>
              <w:rPr>
                <w:rFonts w:asciiTheme="minorHAnsi" w:hAnsiTheme="minorHAnsi"/>
                <w:sz w:val="12"/>
                <w:szCs w:val="12"/>
              </w:rPr>
            </w:pPr>
          </w:p>
          <w:p w:rsidR="00850906" w:rsidRPr="0052430E" w:rsidRDefault="00850906" w:rsidP="00850906">
            <w:pPr>
              <w:autoSpaceDE w:val="0"/>
              <w:autoSpaceDN w:val="0"/>
              <w:adjustRightInd w:val="0"/>
              <w:jc w:val="both"/>
              <w:rPr>
                <w:rFonts w:asciiTheme="minorHAnsi" w:hAnsiTheme="minorHAnsi" w:cstheme="minorHAnsi"/>
                <w:sz w:val="16"/>
                <w:szCs w:val="22"/>
                <w:lang w:eastAsia="es-MX"/>
              </w:rPr>
            </w:pPr>
            <w:r w:rsidRPr="0052430E">
              <w:rPr>
                <w:rFonts w:asciiTheme="minorHAnsi" w:hAnsiTheme="minorHAnsi"/>
                <w:sz w:val="16"/>
                <w:szCs w:val="22"/>
              </w:rPr>
              <w:t>“La deserción es el abandono prematuro de un programa de estudios antes de alcanzar el título o grado y considera un tiempo suficientemente largo como para descartar la posibilidad de que el estudiante se reincorpore”.</w:t>
            </w:r>
          </w:p>
        </w:tc>
      </w:tr>
      <w:tr w:rsidR="00850906" w:rsidRPr="0052430E" w:rsidTr="00850906">
        <w:trPr>
          <w:trHeight w:val="1130"/>
        </w:trPr>
        <w:tc>
          <w:tcPr>
            <w:tcW w:w="1844" w:type="dxa"/>
            <w:shd w:val="clear" w:color="auto" w:fill="auto"/>
            <w:vAlign w:val="center"/>
          </w:tcPr>
          <w:p w:rsidR="00850906" w:rsidRPr="0052430E" w:rsidRDefault="00850906" w:rsidP="00850906">
            <w:pPr>
              <w:rPr>
                <w:rFonts w:asciiTheme="minorHAnsi" w:hAnsiTheme="minorHAnsi" w:cstheme="minorHAnsi"/>
                <w:sz w:val="16"/>
                <w:szCs w:val="22"/>
              </w:rPr>
            </w:pPr>
            <w:r w:rsidRPr="0052430E">
              <w:rPr>
                <w:rFonts w:asciiTheme="minorHAnsi" w:hAnsiTheme="minorHAnsi" w:cstheme="minorHAnsi"/>
                <w:sz w:val="16"/>
                <w:szCs w:val="22"/>
                <w:lang w:eastAsia="es-MX"/>
              </w:rPr>
              <w:t xml:space="preserve">Tinto, </w:t>
            </w:r>
            <w:r w:rsidRPr="0052430E">
              <w:rPr>
                <w:rFonts w:asciiTheme="minorHAnsi" w:hAnsiTheme="minorHAnsi" w:cstheme="minorHAnsi"/>
                <w:bCs/>
                <w:sz w:val="16"/>
                <w:szCs w:val="22"/>
              </w:rPr>
              <w:t>(Guzmán, 2009)</w:t>
            </w:r>
          </w:p>
        </w:tc>
        <w:tc>
          <w:tcPr>
            <w:tcW w:w="2551" w:type="dxa"/>
            <w:shd w:val="clear" w:color="auto" w:fill="auto"/>
            <w:vAlign w:val="center"/>
          </w:tcPr>
          <w:p w:rsidR="00850906" w:rsidRPr="000F343F" w:rsidRDefault="00850906" w:rsidP="00850906">
            <w:pPr>
              <w:autoSpaceDE w:val="0"/>
              <w:autoSpaceDN w:val="0"/>
              <w:adjustRightInd w:val="0"/>
              <w:jc w:val="both"/>
              <w:rPr>
                <w:rFonts w:asciiTheme="minorHAnsi" w:hAnsiTheme="minorHAnsi" w:cstheme="minorHAnsi"/>
                <w:sz w:val="12"/>
                <w:szCs w:val="12"/>
                <w:lang w:eastAsia="es-MX"/>
              </w:rPr>
            </w:pPr>
          </w:p>
          <w:p w:rsidR="00850906" w:rsidRPr="0052430E" w:rsidRDefault="00850906" w:rsidP="00850906">
            <w:pPr>
              <w:autoSpaceDE w:val="0"/>
              <w:autoSpaceDN w:val="0"/>
              <w:adjustRightInd w:val="0"/>
              <w:jc w:val="both"/>
              <w:rPr>
                <w:rFonts w:asciiTheme="minorHAnsi" w:hAnsiTheme="minorHAnsi" w:cstheme="minorHAnsi"/>
                <w:sz w:val="16"/>
                <w:szCs w:val="22"/>
              </w:rPr>
            </w:pPr>
            <w:r w:rsidRPr="0052430E">
              <w:rPr>
                <w:rFonts w:asciiTheme="minorHAnsi" w:hAnsiTheme="minorHAnsi" w:cstheme="minorHAnsi"/>
                <w:sz w:val="16"/>
                <w:szCs w:val="22"/>
                <w:lang w:eastAsia="es-MX"/>
              </w:rPr>
              <w:t>“La definición de la deserción estudiantil puede analizarse desde varias perspectivas y de acuerdo con los diferentes tipos de abandono. Estas perspectivas dependen de las partes involucradas e interesadas en el proceso, como son los estudiantes, los funcionarios de las instituciones de educación superior y los responsables de la política nacional de educación. En este sentido, el concepto de deserción puede estudiarse desde tres puntos de vista: individual, institucional y estatal o nacional”.</w:t>
            </w:r>
          </w:p>
        </w:tc>
      </w:tr>
      <w:tr w:rsidR="00850906" w:rsidRPr="0052430E" w:rsidTr="00850906">
        <w:trPr>
          <w:trHeight w:val="60"/>
        </w:trPr>
        <w:tc>
          <w:tcPr>
            <w:tcW w:w="1844" w:type="dxa"/>
            <w:shd w:val="clear" w:color="auto" w:fill="auto"/>
            <w:vAlign w:val="center"/>
          </w:tcPr>
          <w:p w:rsidR="00850906" w:rsidRPr="0052430E" w:rsidRDefault="00850906" w:rsidP="00850906">
            <w:pPr>
              <w:rPr>
                <w:rFonts w:asciiTheme="minorHAnsi" w:hAnsiTheme="minorHAnsi" w:cstheme="minorHAnsi"/>
                <w:sz w:val="16"/>
                <w:szCs w:val="22"/>
              </w:rPr>
            </w:pPr>
            <w:proofErr w:type="spellStart"/>
            <w:r w:rsidRPr="0052430E">
              <w:rPr>
                <w:rFonts w:asciiTheme="minorHAnsi" w:hAnsiTheme="minorHAnsi" w:cstheme="minorHAnsi"/>
                <w:sz w:val="16"/>
                <w:szCs w:val="22"/>
                <w:lang w:eastAsia="es-CO"/>
              </w:rPr>
              <w:t>Spady</w:t>
            </w:r>
            <w:proofErr w:type="spellEnd"/>
            <w:r w:rsidRPr="0052430E">
              <w:rPr>
                <w:rFonts w:asciiTheme="minorHAnsi" w:hAnsiTheme="minorHAnsi" w:cstheme="minorHAnsi"/>
                <w:sz w:val="16"/>
                <w:szCs w:val="22"/>
                <w:lang w:eastAsia="es-CO"/>
              </w:rPr>
              <w:t xml:space="preserve">, </w:t>
            </w:r>
            <w:r w:rsidRPr="0052430E">
              <w:rPr>
                <w:rFonts w:asciiTheme="minorHAnsi" w:hAnsiTheme="minorHAnsi" w:cstheme="minorHAnsi"/>
                <w:bCs/>
                <w:sz w:val="16"/>
                <w:szCs w:val="22"/>
                <w:lang w:eastAsia="es-CO"/>
              </w:rPr>
              <w:t>(Montes et al, 2010)</w:t>
            </w:r>
          </w:p>
        </w:tc>
        <w:tc>
          <w:tcPr>
            <w:tcW w:w="2551" w:type="dxa"/>
            <w:shd w:val="clear" w:color="auto" w:fill="auto"/>
            <w:vAlign w:val="center"/>
          </w:tcPr>
          <w:p w:rsidR="00850906" w:rsidRPr="000F343F" w:rsidRDefault="00850906" w:rsidP="00850906">
            <w:pPr>
              <w:jc w:val="both"/>
              <w:rPr>
                <w:rFonts w:asciiTheme="minorHAnsi" w:hAnsiTheme="minorHAnsi" w:cstheme="minorHAnsi"/>
                <w:sz w:val="12"/>
                <w:szCs w:val="12"/>
                <w:lang w:eastAsia="es-CO"/>
              </w:rPr>
            </w:pPr>
          </w:p>
          <w:p w:rsidR="00850906" w:rsidRPr="0052430E" w:rsidRDefault="00850906" w:rsidP="00850906">
            <w:pPr>
              <w:jc w:val="both"/>
              <w:rPr>
                <w:rFonts w:asciiTheme="minorHAnsi" w:hAnsiTheme="minorHAnsi" w:cstheme="minorHAnsi"/>
                <w:sz w:val="16"/>
                <w:szCs w:val="22"/>
              </w:rPr>
            </w:pPr>
            <w:r w:rsidRPr="0052430E">
              <w:rPr>
                <w:rFonts w:asciiTheme="minorHAnsi" w:hAnsiTheme="minorHAnsi" w:cstheme="minorHAnsi"/>
                <w:sz w:val="16"/>
                <w:szCs w:val="22"/>
                <w:lang w:eastAsia="es-CO"/>
              </w:rPr>
              <w:t>“La deserción como concepto incluye a cualquier persona que se retira de una institución en la cual está registrado o que hace alusión a aquellos que comenzaron pero nunca recibieron un diploma de una Universidad o Institución de Educación Superior”.</w:t>
            </w:r>
          </w:p>
        </w:tc>
      </w:tr>
      <w:tr w:rsidR="00850906" w:rsidRPr="0052430E" w:rsidTr="00850906">
        <w:trPr>
          <w:trHeight w:val="1164"/>
        </w:trPr>
        <w:tc>
          <w:tcPr>
            <w:tcW w:w="1844" w:type="dxa"/>
            <w:shd w:val="clear" w:color="auto" w:fill="auto"/>
            <w:vAlign w:val="center"/>
          </w:tcPr>
          <w:p w:rsidR="00850906" w:rsidRPr="0052430E" w:rsidRDefault="00850906" w:rsidP="00850906">
            <w:pPr>
              <w:rPr>
                <w:rFonts w:asciiTheme="minorHAnsi" w:hAnsiTheme="minorHAnsi" w:cstheme="minorHAnsi"/>
                <w:sz w:val="16"/>
                <w:szCs w:val="22"/>
              </w:rPr>
            </w:pPr>
            <w:r w:rsidRPr="0052430E">
              <w:rPr>
                <w:rFonts w:asciiTheme="minorHAnsi" w:hAnsiTheme="minorHAnsi" w:cstheme="minorHAnsi"/>
                <w:sz w:val="16"/>
                <w:szCs w:val="22"/>
              </w:rPr>
              <w:t xml:space="preserve">Ortega,  </w:t>
            </w:r>
            <w:r w:rsidRPr="0052430E">
              <w:rPr>
                <w:rFonts w:asciiTheme="minorHAnsi" w:hAnsiTheme="minorHAnsi" w:cstheme="minorHAnsi"/>
                <w:bCs/>
                <w:sz w:val="16"/>
                <w:szCs w:val="22"/>
              </w:rPr>
              <w:t>(Osorio, 2011)</w:t>
            </w:r>
          </w:p>
        </w:tc>
        <w:tc>
          <w:tcPr>
            <w:tcW w:w="2551" w:type="dxa"/>
            <w:shd w:val="clear" w:color="auto" w:fill="auto"/>
            <w:vAlign w:val="center"/>
          </w:tcPr>
          <w:p w:rsidR="00850906" w:rsidRPr="000F343F" w:rsidRDefault="00850906" w:rsidP="00850906">
            <w:pPr>
              <w:jc w:val="both"/>
              <w:rPr>
                <w:rFonts w:asciiTheme="minorHAnsi" w:hAnsiTheme="minorHAnsi" w:cstheme="minorHAnsi"/>
                <w:sz w:val="16"/>
                <w:szCs w:val="16"/>
              </w:rPr>
            </w:pPr>
          </w:p>
          <w:p w:rsidR="00850906" w:rsidRPr="0052430E" w:rsidRDefault="00850906" w:rsidP="00850906">
            <w:pPr>
              <w:jc w:val="both"/>
              <w:rPr>
                <w:rFonts w:asciiTheme="minorHAnsi" w:hAnsiTheme="minorHAnsi" w:cstheme="minorHAnsi"/>
                <w:sz w:val="16"/>
                <w:szCs w:val="22"/>
              </w:rPr>
            </w:pPr>
            <w:r w:rsidRPr="0052430E">
              <w:rPr>
                <w:rFonts w:asciiTheme="minorHAnsi" w:hAnsiTheme="minorHAnsi" w:cstheme="minorHAnsi"/>
                <w:sz w:val="16"/>
                <w:szCs w:val="22"/>
              </w:rPr>
              <w:t>“La deserción escolar corresponde al abandono temporal o definitivo que efectúa un sujeto, en relación con sus estudios formales, en cualquier nivel de educación”.</w:t>
            </w:r>
          </w:p>
        </w:tc>
      </w:tr>
    </w:tbl>
    <w:p w:rsidR="00850906" w:rsidRPr="000B4516" w:rsidRDefault="00850906" w:rsidP="00850906">
      <w:pPr>
        <w:jc w:val="both"/>
        <w:rPr>
          <w:rFonts w:ascii="Arial" w:hAnsi="Arial" w:cs="Arial"/>
          <w:sz w:val="22"/>
          <w:szCs w:val="22"/>
        </w:rPr>
      </w:pPr>
      <w:r w:rsidRPr="0052430E">
        <w:rPr>
          <w:rFonts w:ascii="Arial" w:hAnsi="Arial" w:cs="Arial"/>
          <w:sz w:val="22"/>
          <w:szCs w:val="22"/>
        </w:rPr>
        <w:t xml:space="preserve">Por otra parte, de acuerdo con los resultados de investigaciones realizadas por el Ministerio de Educación Nacional República de Colombia (2008), Castaño (2004) y González (2005), la deserción con respecto al ‘espacio’ puede ser analizada desde el punto de vista del programa académico, la institución o el abandono del sistema de educación. La deserción interna o del programa académico se origina cuando un alumno decide cambiar su programa académico por otro que ofrece la </w:t>
      </w:r>
      <w:r w:rsidRPr="000B4516">
        <w:rPr>
          <w:rFonts w:ascii="Arial" w:hAnsi="Arial" w:cs="Arial"/>
          <w:sz w:val="22"/>
          <w:szCs w:val="22"/>
        </w:rPr>
        <w:t xml:space="preserve">institución, la deserción institucional cuando </w:t>
      </w:r>
      <w:r w:rsidRPr="000B4516">
        <w:rPr>
          <w:rFonts w:ascii="Arial" w:hAnsi="Arial" w:cs="Arial"/>
          <w:sz w:val="22"/>
          <w:szCs w:val="22"/>
        </w:rPr>
        <w:lastRenderedPageBreak/>
        <w:t xml:space="preserve">el estudiante cambia de institución, y la deserción del sistema de educación cuando el estudiante decide no continuar sus estudios de educación superior. </w:t>
      </w:r>
    </w:p>
    <w:p w:rsidR="00990F19" w:rsidRPr="000B4516" w:rsidRDefault="00990F19" w:rsidP="00990F19">
      <w:pPr>
        <w:jc w:val="both"/>
        <w:rPr>
          <w:rFonts w:ascii="Arial" w:hAnsi="Arial" w:cs="Arial"/>
          <w:sz w:val="22"/>
          <w:szCs w:val="22"/>
        </w:rPr>
      </w:pPr>
    </w:p>
    <w:p w:rsidR="00D91D8B" w:rsidRPr="000B4516" w:rsidRDefault="00D91D8B" w:rsidP="003F5678">
      <w:pPr>
        <w:jc w:val="both"/>
        <w:rPr>
          <w:rFonts w:ascii="Arial" w:hAnsi="Arial" w:cs="Arial"/>
          <w:sz w:val="22"/>
          <w:szCs w:val="22"/>
        </w:rPr>
      </w:pPr>
      <w:r w:rsidRPr="000B4516">
        <w:rPr>
          <w:rFonts w:ascii="Arial" w:hAnsi="Arial" w:cs="Arial"/>
          <w:sz w:val="22"/>
          <w:szCs w:val="22"/>
        </w:rPr>
        <w:t xml:space="preserve">Así mismo, la clasificación de la deserción está relacionada con el tiempo de permanencia del estudiante en la institución. Para algunos autores como  </w:t>
      </w:r>
      <w:proofErr w:type="spellStart"/>
      <w:r w:rsidRPr="000B4516">
        <w:rPr>
          <w:rFonts w:ascii="Arial" w:hAnsi="Arial" w:cs="Arial"/>
          <w:sz w:val="22"/>
          <w:szCs w:val="22"/>
        </w:rPr>
        <w:t>Vicent</w:t>
      </w:r>
      <w:proofErr w:type="spellEnd"/>
      <w:r w:rsidRPr="000B4516">
        <w:rPr>
          <w:rFonts w:ascii="Arial" w:hAnsi="Arial" w:cs="Arial"/>
          <w:sz w:val="22"/>
          <w:szCs w:val="22"/>
        </w:rPr>
        <w:t xml:space="preserve"> Tinto (Rodríguez, 2011),  Castaño (2004) y Castaño et al. (2008), la deserción respecto al tiempo se clasific</w:t>
      </w:r>
      <w:r w:rsidR="00F86F44" w:rsidRPr="000B4516">
        <w:rPr>
          <w:rFonts w:ascii="Arial" w:hAnsi="Arial" w:cs="Arial"/>
          <w:sz w:val="22"/>
          <w:szCs w:val="22"/>
        </w:rPr>
        <w:t>a en: precoz, temprana y tardía</w:t>
      </w:r>
      <w:r w:rsidRPr="000B4516">
        <w:rPr>
          <w:rFonts w:ascii="Arial" w:hAnsi="Arial" w:cs="Arial"/>
          <w:sz w:val="22"/>
          <w:szCs w:val="22"/>
        </w:rPr>
        <w:t>. La deserción precoz se refiere a cuando e</w:t>
      </w:r>
      <w:r w:rsidR="00584683" w:rsidRPr="000B4516">
        <w:rPr>
          <w:rFonts w:ascii="Arial" w:hAnsi="Arial" w:cs="Arial"/>
          <w:sz w:val="22"/>
          <w:szCs w:val="22"/>
        </w:rPr>
        <w:t xml:space="preserve">l individuo que siendo admitido </w:t>
      </w:r>
      <w:r w:rsidRPr="000B4516">
        <w:rPr>
          <w:rFonts w:ascii="Arial" w:hAnsi="Arial" w:cs="Arial"/>
          <w:sz w:val="22"/>
          <w:szCs w:val="22"/>
        </w:rPr>
        <w:t>a la Unive</w:t>
      </w:r>
      <w:r w:rsidR="003F5678" w:rsidRPr="000B4516">
        <w:rPr>
          <w:rFonts w:ascii="Arial" w:hAnsi="Arial" w:cs="Arial"/>
          <w:sz w:val="22"/>
          <w:szCs w:val="22"/>
        </w:rPr>
        <w:t xml:space="preserve">rsidad, decide no matricularse. </w:t>
      </w:r>
      <w:r w:rsidRPr="000B4516">
        <w:rPr>
          <w:rFonts w:ascii="Arial" w:hAnsi="Arial" w:cs="Arial"/>
          <w:sz w:val="22"/>
          <w:szCs w:val="22"/>
        </w:rPr>
        <w:t xml:space="preserve">En el caso que el individuo decida abandonar sus estudios en </w:t>
      </w:r>
      <w:r w:rsidR="00584683" w:rsidRPr="000B4516">
        <w:rPr>
          <w:rFonts w:ascii="Arial" w:hAnsi="Arial" w:cs="Arial"/>
          <w:sz w:val="22"/>
          <w:szCs w:val="22"/>
        </w:rPr>
        <w:t xml:space="preserve"> </w:t>
      </w:r>
      <w:r w:rsidRPr="000B4516">
        <w:rPr>
          <w:rFonts w:ascii="Arial" w:hAnsi="Arial" w:cs="Arial"/>
          <w:sz w:val="22"/>
          <w:szCs w:val="22"/>
        </w:rPr>
        <w:t xml:space="preserve">los </w:t>
      </w:r>
      <w:r w:rsidR="00584683" w:rsidRPr="000B4516">
        <w:rPr>
          <w:rFonts w:ascii="Arial" w:hAnsi="Arial" w:cs="Arial"/>
          <w:sz w:val="22"/>
          <w:szCs w:val="22"/>
        </w:rPr>
        <w:t xml:space="preserve"> </w:t>
      </w:r>
      <w:r w:rsidRPr="000B4516">
        <w:rPr>
          <w:rFonts w:ascii="Arial" w:hAnsi="Arial" w:cs="Arial"/>
          <w:sz w:val="22"/>
          <w:szCs w:val="22"/>
        </w:rPr>
        <w:t xml:space="preserve">cuatro </w:t>
      </w:r>
      <w:r w:rsidR="00584683" w:rsidRPr="000B4516">
        <w:rPr>
          <w:rFonts w:ascii="Arial" w:hAnsi="Arial" w:cs="Arial"/>
          <w:sz w:val="22"/>
          <w:szCs w:val="22"/>
        </w:rPr>
        <w:t xml:space="preserve">  </w:t>
      </w:r>
      <w:r w:rsidRPr="000B4516">
        <w:rPr>
          <w:rFonts w:ascii="Arial" w:hAnsi="Arial" w:cs="Arial"/>
          <w:sz w:val="22"/>
          <w:szCs w:val="22"/>
        </w:rPr>
        <w:t xml:space="preserve">primeros semestres </w:t>
      </w:r>
      <w:r w:rsidR="00584683" w:rsidRPr="000B4516">
        <w:rPr>
          <w:rFonts w:ascii="Arial" w:hAnsi="Arial" w:cs="Arial"/>
          <w:sz w:val="22"/>
          <w:szCs w:val="22"/>
        </w:rPr>
        <w:t xml:space="preserve"> </w:t>
      </w:r>
      <w:r w:rsidRPr="000B4516">
        <w:rPr>
          <w:rFonts w:ascii="Arial" w:hAnsi="Arial" w:cs="Arial"/>
          <w:sz w:val="22"/>
          <w:szCs w:val="22"/>
        </w:rPr>
        <w:t>de</w:t>
      </w:r>
      <w:r w:rsidR="00584683" w:rsidRPr="000B4516">
        <w:rPr>
          <w:rFonts w:ascii="Arial" w:hAnsi="Arial" w:cs="Arial"/>
          <w:sz w:val="22"/>
          <w:szCs w:val="22"/>
        </w:rPr>
        <w:t xml:space="preserve">  </w:t>
      </w:r>
      <w:r w:rsidRPr="000B4516">
        <w:rPr>
          <w:rFonts w:ascii="Arial" w:hAnsi="Arial" w:cs="Arial"/>
          <w:sz w:val="22"/>
          <w:szCs w:val="22"/>
        </w:rPr>
        <w:t xml:space="preserve"> la</w:t>
      </w:r>
      <w:r w:rsidR="00584683" w:rsidRPr="000B4516">
        <w:rPr>
          <w:rFonts w:ascii="Arial" w:hAnsi="Arial" w:cs="Arial"/>
          <w:sz w:val="22"/>
          <w:szCs w:val="22"/>
        </w:rPr>
        <w:t xml:space="preserve">   </w:t>
      </w:r>
      <w:r w:rsidRPr="000B4516">
        <w:rPr>
          <w:rFonts w:ascii="Arial" w:hAnsi="Arial" w:cs="Arial"/>
          <w:sz w:val="22"/>
          <w:szCs w:val="22"/>
        </w:rPr>
        <w:t xml:space="preserve">carrera, </w:t>
      </w:r>
      <w:r w:rsidR="00584683" w:rsidRPr="000B4516">
        <w:rPr>
          <w:rFonts w:ascii="Arial" w:hAnsi="Arial" w:cs="Arial"/>
          <w:sz w:val="22"/>
          <w:szCs w:val="22"/>
        </w:rPr>
        <w:t xml:space="preserve">  </w:t>
      </w:r>
      <w:r w:rsidRPr="000B4516">
        <w:rPr>
          <w:rFonts w:ascii="Arial" w:hAnsi="Arial" w:cs="Arial"/>
          <w:sz w:val="22"/>
          <w:szCs w:val="22"/>
        </w:rPr>
        <w:t xml:space="preserve">se </w:t>
      </w:r>
      <w:r w:rsidR="00584683" w:rsidRPr="000B4516">
        <w:rPr>
          <w:rFonts w:ascii="Arial" w:hAnsi="Arial" w:cs="Arial"/>
          <w:sz w:val="22"/>
          <w:szCs w:val="22"/>
        </w:rPr>
        <w:t xml:space="preserve">   </w:t>
      </w:r>
      <w:r w:rsidRPr="000B4516">
        <w:rPr>
          <w:rFonts w:ascii="Arial" w:hAnsi="Arial" w:cs="Arial"/>
          <w:sz w:val="22"/>
          <w:szCs w:val="22"/>
        </w:rPr>
        <w:t xml:space="preserve">denomina </w:t>
      </w:r>
      <w:r w:rsidR="00584683" w:rsidRPr="000B4516">
        <w:rPr>
          <w:rFonts w:ascii="Arial" w:hAnsi="Arial" w:cs="Arial"/>
          <w:sz w:val="22"/>
          <w:szCs w:val="22"/>
        </w:rPr>
        <w:t>d</w:t>
      </w:r>
      <w:r w:rsidRPr="000B4516">
        <w:rPr>
          <w:rFonts w:ascii="Arial" w:hAnsi="Arial" w:cs="Arial"/>
          <w:sz w:val="22"/>
          <w:szCs w:val="22"/>
        </w:rPr>
        <w:t>eserción</w:t>
      </w:r>
      <w:r w:rsidR="00584683" w:rsidRPr="000B4516">
        <w:rPr>
          <w:rFonts w:ascii="Arial" w:hAnsi="Arial" w:cs="Arial"/>
          <w:sz w:val="22"/>
          <w:szCs w:val="22"/>
        </w:rPr>
        <w:t xml:space="preserve"> </w:t>
      </w:r>
      <w:r w:rsidRPr="000B4516">
        <w:rPr>
          <w:rFonts w:ascii="Arial" w:hAnsi="Arial" w:cs="Arial"/>
          <w:sz w:val="22"/>
          <w:szCs w:val="22"/>
        </w:rPr>
        <w:t xml:space="preserve">temprana y si el individuo abandona sus estudios en los últimos semestres de su carrera, es decir a partir del quinto semestre de su carrera, se considera deserción tardía. </w:t>
      </w:r>
    </w:p>
    <w:p w:rsidR="00F86F44" w:rsidRPr="0052430E" w:rsidRDefault="00F86F44" w:rsidP="00D91D8B">
      <w:pPr>
        <w:pStyle w:val="Prrafodelista"/>
        <w:autoSpaceDE w:val="0"/>
        <w:autoSpaceDN w:val="0"/>
        <w:adjustRightInd w:val="0"/>
        <w:ind w:left="0"/>
        <w:jc w:val="both"/>
        <w:rPr>
          <w:rFonts w:ascii="Arial" w:hAnsi="Arial" w:cs="Arial"/>
        </w:rPr>
      </w:pPr>
    </w:p>
    <w:p w:rsidR="00D91D8B" w:rsidRPr="0052430E" w:rsidRDefault="00D91D8B" w:rsidP="00D91D8B">
      <w:pPr>
        <w:jc w:val="both"/>
        <w:rPr>
          <w:rFonts w:ascii="Arial" w:hAnsi="Arial" w:cs="Arial"/>
          <w:b/>
          <w:sz w:val="22"/>
          <w:szCs w:val="22"/>
        </w:rPr>
      </w:pPr>
      <w:r w:rsidRPr="0052430E">
        <w:rPr>
          <w:rFonts w:ascii="Arial" w:hAnsi="Arial" w:cs="Arial"/>
          <w:b/>
          <w:sz w:val="22"/>
          <w:szCs w:val="22"/>
        </w:rPr>
        <w:t xml:space="preserve">2.2 Modelos de análisis de la deserción estudiantil. </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La deserción se puede analizar a partir de diferentes modelos que consideran factores y variables. En la literatura se encuentran modelos de deserción de tipo psicológico, sociológico, económico, organizacional y de interacción. Dentro de éstos últimos se encuentra el modelo de ‘Integración del Estudiante’ (Tinto, 1975) y el de ‘Desgaste’ (</w:t>
      </w:r>
      <w:proofErr w:type="spellStart"/>
      <w:r w:rsidRPr="0052430E">
        <w:rPr>
          <w:rFonts w:ascii="Arial" w:hAnsi="Arial" w:cs="Arial"/>
          <w:sz w:val="22"/>
          <w:szCs w:val="22"/>
        </w:rPr>
        <w:t>Bean</w:t>
      </w:r>
      <w:proofErr w:type="spellEnd"/>
      <w:r w:rsidRPr="0052430E">
        <w:rPr>
          <w:rFonts w:ascii="Arial" w:hAnsi="Arial" w:cs="Arial"/>
          <w:sz w:val="22"/>
          <w:szCs w:val="22"/>
        </w:rPr>
        <w:t xml:space="preserve">, 1980). </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A continuación, se presenta una descripción de los diferentes tipos de modelos, los cuales permiten analizar el fenómeno de la deserción desde varias perspectivas. Entre los Modelos de análisis de deserción  están los presentados por Díaz (2008), Himmel (2002) y </w:t>
      </w:r>
      <w:r w:rsidRPr="0052430E">
        <w:rPr>
          <w:rFonts w:ascii="Arial" w:hAnsi="Arial" w:cs="Arial"/>
          <w:iCs/>
          <w:sz w:val="22"/>
          <w:szCs w:val="22"/>
        </w:rPr>
        <w:t>Donoso</w:t>
      </w:r>
      <w:r w:rsidRPr="0052430E">
        <w:rPr>
          <w:rFonts w:ascii="Arial" w:hAnsi="Arial" w:cs="Arial"/>
          <w:sz w:val="22"/>
          <w:szCs w:val="22"/>
        </w:rPr>
        <w:t xml:space="preserve"> et al., (2007).</w:t>
      </w:r>
    </w:p>
    <w:p w:rsidR="00D91D8B" w:rsidRPr="0052430E" w:rsidRDefault="00D91D8B" w:rsidP="00D91D8B">
      <w:pPr>
        <w:jc w:val="both"/>
        <w:rPr>
          <w:rFonts w:ascii="Arial" w:hAnsi="Arial" w:cs="Arial"/>
          <w:sz w:val="22"/>
          <w:szCs w:val="22"/>
        </w:rPr>
      </w:pPr>
    </w:p>
    <w:p w:rsidR="00D91D8B" w:rsidRPr="0052430E" w:rsidRDefault="00D91D8B" w:rsidP="00D91D8B">
      <w:pPr>
        <w:pStyle w:val="Prrafodelista"/>
        <w:ind w:left="0"/>
        <w:jc w:val="both"/>
        <w:rPr>
          <w:rFonts w:ascii="Arial" w:hAnsi="Arial" w:cs="Arial"/>
        </w:rPr>
      </w:pPr>
      <w:r w:rsidRPr="0052430E">
        <w:rPr>
          <w:rFonts w:ascii="Arial" w:hAnsi="Arial" w:cs="Arial"/>
          <w:b/>
        </w:rPr>
        <w:t>2.2.1 Modelos psicológicos:</w:t>
      </w:r>
      <w:r w:rsidRPr="0052430E">
        <w:rPr>
          <w:rFonts w:ascii="Arial" w:hAnsi="Arial" w:cs="Arial"/>
        </w:rPr>
        <w:t xml:space="preserve"> Los modelos psicológicos afirman que las características personales de un estudiante determinan su decisión de abandonar los estudios; por lo tanto, estos  consideran que la deserción es </w:t>
      </w:r>
      <w:r w:rsidRPr="0052430E">
        <w:rPr>
          <w:rFonts w:ascii="Arial" w:hAnsi="Arial" w:cs="Arial"/>
        </w:rPr>
        <w:lastRenderedPageBreak/>
        <w:t xml:space="preserve">el resultado del debilitamiento de las intenciones iniciales, </w:t>
      </w:r>
      <w:proofErr w:type="spellStart"/>
      <w:r w:rsidRPr="0052430E">
        <w:rPr>
          <w:rFonts w:ascii="Arial" w:hAnsi="Arial" w:cs="Arial"/>
        </w:rPr>
        <w:t>Fishbein</w:t>
      </w:r>
      <w:proofErr w:type="spellEnd"/>
      <w:r w:rsidRPr="0052430E">
        <w:rPr>
          <w:rFonts w:ascii="Arial" w:hAnsi="Arial" w:cs="Arial"/>
        </w:rPr>
        <w:t xml:space="preserve"> et al. (1975). Los modelos psicológicos se basan en la ‘Teoría de la acción Razonada’, es decir, estudian el comportamiento como una actitud en respuesta a unos objetivos específicos, considerando que este comportamiento es influenciado por normas subjetivas; así, la decisión de desertar en un estudiante está asociada con sus conductas previas o actitudes y las normas subjetivas acerca de sus acciones. A su vez, </w:t>
      </w:r>
      <w:proofErr w:type="spellStart"/>
      <w:r w:rsidRPr="0052430E">
        <w:rPr>
          <w:rFonts w:ascii="Arial" w:hAnsi="Arial" w:cs="Arial"/>
        </w:rPr>
        <w:t>Attinasi</w:t>
      </w:r>
      <w:proofErr w:type="spellEnd"/>
      <w:r w:rsidRPr="0052430E">
        <w:rPr>
          <w:rFonts w:ascii="Arial" w:hAnsi="Arial" w:cs="Arial"/>
        </w:rPr>
        <w:t xml:space="preserve"> (1986), complementa el modelo de </w:t>
      </w:r>
      <w:proofErr w:type="spellStart"/>
      <w:r w:rsidRPr="0052430E">
        <w:rPr>
          <w:rFonts w:ascii="Arial" w:hAnsi="Arial" w:cs="Arial"/>
        </w:rPr>
        <w:t>Fishbein</w:t>
      </w:r>
      <w:proofErr w:type="spellEnd"/>
      <w:r w:rsidRPr="0052430E">
        <w:rPr>
          <w:rFonts w:ascii="Arial" w:hAnsi="Arial" w:cs="Arial"/>
        </w:rPr>
        <w:t xml:space="preserve"> et al. (1975), manifestando que la decisión de desertar por parte de un estudiante también está influenciada por la percepción y el análisis que este haga de su vida universitaria posteriormente a su ingreso.</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Por otra parte, </w:t>
      </w:r>
      <w:proofErr w:type="spellStart"/>
      <w:r w:rsidRPr="0052430E">
        <w:rPr>
          <w:rFonts w:ascii="Arial" w:hAnsi="Arial" w:cs="Arial"/>
          <w:sz w:val="22"/>
          <w:szCs w:val="22"/>
        </w:rPr>
        <w:t>Ethington</w:t>
      </w:r>
      <w:proofErr w:type="spellEnd"/>
      <w:r w:rsidRPr="0052430E">
        <w:rPr>
          <w:rFonts w:ascii="Arial" w:hAnsi="Arial" w:cs="Arial"/>
          <w:sz w:val="22"/>
          <w:szCs w:val="22"/>
        </w:rPr>
        <w:t xml:space="preserve"> (1990), crea una teoría más completa fundamentado en la teoría de conductas sobre el logro de </w:t>
      </w:r>
      <w:proofErr w:type="spellStart"/>
      <w:r w:rsidRPr="0052430E">
        <w:rPr>
          <w:rFonts w:ascii="Arial" w:hAnsi="Arial" w:cs="Arial"/>
          <w:sz w:val="22"/>
          <w:szCs w:val="22"/>
        </w:rPr>
        <w:t>Eccles</w:t>
      </w:r>
      <w:proofErr w:type="spellEnd"/>
      <w:r w:rsidRPr="0052430E">
        <w:rPr>
          <w:rFonts w:ascii="Arial" w:hAnsi="Arial" w:cs="Arial"/>
          <w:sz w:val="22"/>
          <w:szCs w:val="22"/>
        </w:rPr>
        <w:t xml:space="preserve"> et al. (1983) y </w:t>
      </w:r>
      <w:proofErr w:type="spellStart"/>
      <w:r w:rsidRPr="0052430E">
        <w:rPr>
          <w:rFonts w:ascii="Arial" w:hAnsi="Arial" w:cs="Arial"/>
          <w:sz w:val="22"/>
          <w:szCs w:val="22"/>
        </w:rPr>
        <w:t>Eccles</w:t>
      </w:r>
      <w:proofErr w:type="spellEnd"/>
      <w:r w:rsidRPr="0052430E">
        <w:rPr>
          <w:rFonts w:ascii="Arial" w:hAnsi="Arial" w:cs="Arial"/>
          <w:sz w:val="22"/>
          <w:szCs w:val="22"/>
        </w:rPr>
        <w:t xml:space="preserve"> et al., (2002). </w:t>
      </w:r>
      <w:proofErr w:type="spellStart"/>
      <w:r w:rsidRPr="0052430E">
        <w:rPr>
          <w:rFonts w:ascii="Arial" w:hAnsi="Arial" w:cs="Arial"/>
          <w:sz w:val="22"/>
          <w:szCs w:val="22"/>
        </w:rPr>
        <w:t>Ethington</w:t>
      </w:r>
      <w:proofErr w:type="spellEnd"/>
      <w:r w:rsidRPr="0052430E">
        <w:rPr>
          <w:rFonts w:ascii="Arial" w:hAnsi="Arial" w:cs="Arial"/>
          <w:sz w:val="22"/>
          <w:szCs w:val="22"/>
        </w:rPr>
        <w:t xml:space="preserve"> incluye características como la perseverancia, la elección y el desempeño, donde el rendimiento académico previo de un estudiante influye en su desempeño académico futuro, a partir de su </w:t>
      </w:r>
      <w:proofErr w:type="spellStart"/>
      <w:r w:rsidRPr="0052430E">
        <w:rPr>
          <w:rFonts w:ascii="Arial" w:hAnsi="Arial" w:cs="Arial"/>
          <w:sz w:val="22"/>
          <w:szCs w:val="22"/>
        </w:rPr>
        <w:t>autoconcepto</w:t>
      </w:r>
      <w:proofErr w:type="spellEnd"/>
      <w:r w:rsidRPr="0052430E">
        <w:rPr>
          <w:rFonts w:ascii="Arial" w:hAnsi="Arial" w:cs="Arial"/>
          <w:sz w:val="22"/>
          <w:szCs w:val="22"/>
        </w:rPr>
        <w:t xml:space="preserve"> y la percepción de sus deficiencias académicas y sus expectativas hacia el logro de sus metas. Además, el apoyo y el estímulo que el estudiante recibe de su familia, también repercuten en su rendimiento académico, metas y expectativas. Finalmente, otros autores como </w:t>
      </w:r>
      <w:proofErr w:type="spellStart"/>
      <w:r w:rsidRPr="0052430E">
        <w:rPr>
          <w:rFonts w:ascii="Arial" w:hAnsi="Arial" w:cs="Arial"/>
          <w:sz w:val="22"/>
          <w:szCs w:val="22"/>
        </w:rPr>
        <w:t>Bean</w:t>
      </w:r>
      <w:proofErr w:type="spellEnd"/>
      <w:r w:rsidRPr="0052430E">
        <w:rPr>
          <w:rFonts w:ascii="Arial" w:hAnsi="Arial" w:cs="Arial"/>
          <w:sz w:val="22"/>
          <w:szCs w:val="22"/>
        </w:rPr>
        <w:t xml:space="preserve"> et al., (2001), basan su estudio en los procesos psicológicos relacionados con la integración académica y social que tiene un estudiante, a partir de cuatro teorías: </w:t>
      </w:r>
      <w:r w:rsidRPr="0052430E">
        <w:rPr>
          <w:rFonts w:ascii="Arial" w:hAnsi="Arial" w:cs="Arial"/>
          <w:i/>
          <w:sz w:val="22"/>
          <w:szCs w:val="22"/>
        </w:rPr>
        <w:t>i)</w:t>
      </w:r>
      <w:r w:rsidRPr="0052430E">
        <w:rPr>
          <w:rFonts w:ascii="Arial" w:hAnsi="Arial" w:cs="Arial"/>
          <w:sz w:val="22"/>
          <w:szCs w:val="22"/>
        </w:rPr>
        <w:t xml:space="preserve"> Teoría de autoeficacia, </w:t>
      </w:r>
      <w:r w:rsidRPr="0052430E">
        <w:rPr>
          <w:rFonts w:ascii="Arial" w:hAnsi="Arial" w:cs="Arial"/>
          <w:i/>
          <w:sz w:val="22"/>
          <w:szCs w:val="22"/>
        </w:rPr>
        <w:t>ii)</w:t>
      </w:r>
      <w:r w:rsidRPr="0052430E">
        <w:rPr>
          <w:rFonts w:ascii="Arial" w:hAnsi="Arial" w:cs="Arial"/>
          <w:sz w:val="22"/>
          <w:szCs w:val="22"/>
        </w:rPr>
        <w:t xml:space="preserve"> Teoría de actitud y comportamiento, </w:t>
      </w:r>
      <w:r w:rsidRPr="0052430E">
        <w:rPr>
          <w:rFonts w:ascii="Arial" w:hAnsi="Arial" w:cs="Arial"/>
          <w:i/>
          <w:sz w:val="22"/>
          <w:szCs w:val="22"/>
        </w:rPr>
        <w:t>iii)</w:t>
      </w:r>
      <w:r w:rsidRPr="0052430E">
        <w:rPr>
          <w:rFonts w:ascii="Arial" w:hAnsi="Arial" w:cs="Arial"/>
          <w:sz w:val="22"/>
          <w:szCs w:val="22"/>
        </w:rPr>
        <w:t xml:space="preserve"> Teoría de comportamiento de copia, relacionada con la adaptabilidad del estudiante y </w:t>
      </w:r>
      <w:r w:rsidRPr="0052430E">
        <w:rPr>
          <w:rFonts w:ascii="Arial" w:hAnsi="Arial" w:cs="Arial"/>
          <w:i/>
          <w:sz w:val="22"/>
          <w:szCs w:val="22"/>
        </w:rPr>
        <w:t>iv)</w:t>
      </w:r>
      <w:r w:rsidRPr="0052430E">
        <w:rPr>
          <w:rFonts w:ascii="Arial" w:hAnsi="Arial" w:cs="Arial"/>
          <w:sz w:val="22"/>
          <w:szCs w:val="22"/>
        </w:rPr>
        <w:t xml:space="preserve"> Teoría </w:t>
      </w:r>
      <w:r w:rsidR="007D7E2B">
        <w:rPr>
          <w:rFonts w:ascii="Arial" w:hAnsi="Arial" w:cs="Arial"/>
          <w:sz w:val="22"/>
          <w:szCs w:val="22"/>
        </w:rPr>
        <w:t xml:space="preserve">de </w:t>
      </w:r>
      <w:r w:rsidRPr="0052430E">
        <w:rPr>
          <w:rFonts w:ascii="Arial" w:hAnsi="Arial" w:cs="Arial"/>
          <w:sz w:val="22"/>
          <w:szCs w:val="22"/>
        </w:rPr>
        <w:t xml:space="preserve">atribución, es decir, sentido de control interno, enfatizándose en la importancia de los recursos académicos con que cuenta la institución. </w:t>
      </w:r>
    </w:p>
    <w:p w:rsidR="00D91D8B" w:rsidRPr="0052430E" w:rsidRDefault="00D91D8B" w:rsidP="00D91D8B">
      <w:pPr>
        <w:jc w:val="both"/>
        <w:rPr>
          <w:rFonts w:ascii="Arial" w:hAnsi="Arial" w:cs="Arial"/>
          <w:sz w:val="22"/>
          <w:szCs w:val="22"/>
        </w:rPr>
      </w:pPr>
    </w:p>
    <w:p w:rsidR="00D91D8B" w:rsidRPr="0052430E" w:rsidRDefault="00D91D8B" w:rsidP="00D91D8B">
      <w:pPr>
        <w:pStyle w:val="Prrafodelista"/>
        <w:ind w:left="0"/>
        <w:jc w:val="both"/>
        <w:rPr>
          <w:rFonts w:ascii="Arial" w:hAnsi="Arial" w:cs="Arial"/>
        </w:rPr>
      </w:pPr>
      <w:r w:rsidRPr="0052430E">
        <w:rPr>
          <w:rFonts w:ascii="Arial" w:hAnsi="Arial" w:cs="Arial"/>
          <w:b/>
        </w:rPr>
        <w:t>2.2.2 Modelos sociológicos:</w:t>
      </w:r>
      <w:r w:rsidRPr="0052430E">
        <w:rPr>
          <w:rFonts w:ascii="Arial" w:hAnsi="Arial" w:cs="Arial"/>
        </w:rPr>
        <w:t xml:space="preserve"> Los modelos sociológicos nacen con Durkheim (1951), </w:t>
      </w:r>
      <w:r w:rsidRPr="0052430E">
        <w:rPr>
          <w:rFonts w:ascii="Arial" w:hAnsi="Arial" w:cs="Arial"/>
        </w:rPr>
        <w:lastRenderedPageBreak/>
        <w:t xml:space="preserve">quien propone la teoría del “suicidio”, la cual establece que éste es el resultado de la ruptura del estudiante con el ambiente social, debido a su falta de integración. Posteriormente, </w:t>
      </w:r>
      <w:proofErr w:type="spellStart"/>
      <w:r w:rsidRPr="0052430E">
        <w:rPr>
          <w:rFonts w:ascii="Arial" w:hAnsi="Arial" w:cs="Arial"/>
        </w:rPr>
        <w:t>Spady</w:t>
      </w:r>
      <w:proofErr w:type="spellEnd"/>
      <w:r w:rsidRPr="0052430E">
        <w:rPr>
          <w:rFonts w:ascii="Arial" w:hAnsi="Arial" w:cs="Arial"/>
        </w:rPr>
        <w:t xml:space="preserve"> (1975), basa su modelo en el modelo suicida de Durkheim (1951) mostrando que además de los aspectos psicológicos son los factores externos al estudiante, es decir, la falta de integración social con el ambiente universitario, los que influyen en la deserción. Adicionalmente, </w:t>
      </w:r>
      <w:proofErr w:type="spellStart"/>
      <w:r w:rsidRPr="0052430E">
        <w:rPr>
          <w:rFonts w:ascii="Arial" w:hAnsi="Arial" w:cs="Arial"/>
        </w:rPr>
        <w:t>Spady</w:t>
      </w:r>
      <w:proofErr w:type="spellEnd"/>
      <w:r w:rsidRPr="0052430E">
        <w:rPr>
          <w:rFonts w:ascii="Arial" w:hAnsi="Arial" w:cs="Arial"/>
        </w:rPr>
        <w:t xml:space="preserve"> (1975), señala que el medio familiar del estudiante influye en el potencial académico, la congruencia normativa, la integración social y la satisfacción del estudiante, lo que afecta su compromiso de permanecer o abandonar </w:t>
      </w:r>
      <w:r w:rsidR="00BA732D" w:rsidRPr="0052430E">
        <w:rPr>
          <w:rFonts w:ascii="Arial" w:hAnsi="Arial" w:cs="Arial"/>
        </w:rPr>
        <w:t>la Institución</w:t>
      </w:r>
      <w:r w:rsidRPr="0052430E">
        <w:rPr>
          <w:rFonts w:ascii="Arial" w:hAnsi="Arial" w:cs="Arial"/>
        </w:rPr>
        <w:t xml:space="preserve">. En su estudio </w:t>
      </w:r>
      <w:proofErr w:type="spellStart"/>
      <w:r w:rsidRPr="0052430E">
        <w:rPr>
          <w:rFonts w:ascii="Arial" w:hAnsi="Arial" w:cs="Arial"/>
        </w:rPr>
        <w:t>Spady</w:t>
      </w:r>
      <w:proofErr w:type="spellEnd"/>
      <w:r w:rsidRPr="0052430E">
        <w:rPr>
          <w:rFonts w:ascii="Arial" w:hAnsi="Arial" w:cs="Arial"/>
        </w:rPr>
        <w:t xml:space="preserve"> concluyó que la integración académica, la integración social,  el estado socioeconómico, el género, la calidad de la carrera y el promedio de notas en cada semestre, son predictores de la deserción estudiantil en </w:t>
      </w:r>
      <w:proofErr w:type="spellStart"/>
      <w:r w:rsidRPr="0052430E">
        <w:rPr>
          <w:rFonts w:ascii="Arial" w:hAnsi="Arial" w:cs="Arial"/>
          <w:i/>
        </w:rPr>
        <w:t>Colleges</w:t>
      </w:r>
      <w:proofErr w:type="spellEnd"/>
      <w:r w:rsidRPr="0052430E">
        <w:rPr>
          <w:rFonts w:ascii="Arial" w:hAnsi="Arial" w:cs="Arial"/>
        </w:rPr>
        <w:t xml:space="preserve"> americanos. </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b/>
          <w:sz w:val="22"/>
          <w:szCs w:val="22"/>
        </w:rPr>
        <w:t>2.2.3 Modelos económicos:</w:t>
      </w:r>
      <w:r w:rsidRPr="0052430E">
        <w:rPr>
          <w:rFonts w:ascii="Arial" w:hAnsi="Arial" w:cs="Arial"/>
          <w:sz w:val="22"/>
          <w:szCs w:val="22"/>
        </w:rPr>
        <w:t xml:space="preserve"> Los modelos económicos como los presentados por </w:t>
      </w:r>
      <w:proofErr w:type="spellStart"/>
      <w:r w:rsidRPr="0052430E">
        <w:rPr>
          <w:rFonts w:ascii="Arial" w:hAnsi="Arial" w:cs="Arial"/>
          <w:sz w:val="22"/>
          <w:szCs w:val="22"/>
        </w:rPr>
        <w:t>Sukhmandan</w:t>
      </w:r>
      <w:proofErr w:type="spellEnd"/>
      <w:r w:rsidRPr="0052430E">
        <w:rPr>
          <w:rFonts w:ascii="Arial" w:hAnsi="Arial" w:cs="Arial"/>
          <w:sz w:val="22"/>
          <w:szCs w:val="22"/>
        </w:rPr>
        <w:t xml:space="preserve"> (1998), Cabrera, et al. (1992 -1993), Bernal et al. (2000), St. Jhon et al. (2000), demuestran que cuando los beneficios sociales y económicos relacionados con el estudiante son percibidos como superiores a los percibidos por el desarrollo de otras actividades alternas, el estudiante toma la decisión de permanecer en la Institución, conociéndose este modelo como de ‘Costo/Beneficio’. </w:t>
      </w:r>
    </w:p>
    <w:p w:rsidR="00D91D8B" w:rsidRPr="0052430E" w:rsidRDefault="00D91D8B" w:rsidP="00D91D8B">
      <w:pPr>
        <w:jc w:val="both"/>
        <w:rPr>
          <w:rFonts w:ascii="Arial" w:hAnsi="Arial" w:cs="Arial"/>
          <w:sz w:val="20"/>
          <w:szCs w:val="20"/>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Otro de los model</w:t>
      </w:r>
      <w:r w:rsidR="00707EC7">
        <w:rPr>
          <w:rFonts w:ascii="Arial" w:hAnsi="Arial" w:cs="Arial"/>
          <w:sz w:val="22"/>
          <w:szCs w:val="22"/>
        </w:rPr>
        <w:t>os económicos es el denominado ‘</w:t>
      </w:r>
      <w:r w:rsidRPr="0052430E">
        <w:rPr>
          <w:rFonts w:ascii="Arial" w:hAnsi="Arial" w:cs="Arial"/>
          <w:sz w:val="22"/>
          <w:szCs w:val="22"/>
        </w:rPr>
        <w:t>Focalización d</w:t>
      </w:r>
      <w:r w:rsidR="00707EC7">
        <w:rPr>
          <w:rFonts w:ascii="Arial" w:hAnsi="Arial" w:cs="Arial"/>
          <w:sz w:val="22"/>
          <w:szCs w:val="22"/>
        </w:rPr>
        <w:t>e Subsidio’</w:t>
      </w:r>
      <w:r w:rsidRPr="0052430E">
        <w:rPr>
          <w:rFonts w:ascii="Arial" w:hAnsi="Arial" w:cs="Arial"/>
          <w:sz w:val="22"/>
          <w:szCs w:val="22"/>
        </w:rPr>
        <w:t xml:space="preserve">, </w:t>
      </w:r>
      <w:r w:rsidR="00E1222D">
        <w:rPr>
          <w:rFonts w:ascii="Arial" w:hAnsi="Arial" w:cs="Arial"/>
          <w:sz w:val="22"/>
          <w:szCs w:val="22"/>
        </w:rPr>
        <w:t>que se relaciona</w:t>
      </w:r>
      <w:r w:rsidRPr="0052430E">
        <w:rPr>
          <w:rFonts w:ascii="Arial" w:hAnsi="Arial" w:cs="Arial"/>
          <w:sz w:val="22"/>
          <w:szCs w:val="22"/>
        </w:rPr>
        <w:t xml:space="preserve"> con los subsidios recibidos por el estudiante, los cuales de una u otra forma influyen sobre la deserción. En los resultados de investigaciones realizadas por </w:t>
      </w:r>
      <w:proofErr w:type="spellStart"/>
      <w:r w:rsidRPr="0052430E">
        <w:rPr>
          <w:rFonts w:ascii="Arial" w:hAnsi="Arial" w:cs="Arial"/>
          <w:sz w:val="22"/>
          <w:szCs w:val="22"/>
        </w:rPr>
        <w:t>Ishitani</w:t>
      </w:r>
      <w:proofErr w:type="spellEnd"/>
      <w:r w:rsidRPr="0052430E">
        <w:rPr>
          <w:rFonts w:ascii="Arial" w:hAnsi="Arial" w:cs="Arial"/>
          <w:sz w:val="22"/>
          <w:szCs w:val="22"/>
        </w:rPr>
        <w:t xml:space="preserve"> et al., (2002) y </w:t>
      </w:r>
      <w:proofErr w:type="spellStart"/>
      <w:r w:rsidRPr="0052430E">
        <w:rPr>
          <w:rFonts w:ascii="Arial" w:hAnsi="Arial" w:cs="Arial"/>
          <w:sz w:val="22"/>
          <w:szCs w:val="22"/>
        </w:rPr>
        <w:t>Ozga</w:t>
      </w:r>
      <w:proofErr w:type="spellEnd"/>
      <w:r w:rsidRPr="0052430E">
        <w:rPr>
          <w:rFonts w:ascii="Arial" w:hAnsi="Arial" w:cs="Arial"/>
          <w:sz w:val="22"/>
          <w:szCs w:val="22"/>
        </w:rPr>
        <w:t xml:space="preserve"> et al., (1998), se puede observar que las ayudas brindadas a los estudiantes por medio de becas, créditos y matriculas especiales se convierten en un aspecto importante en el momento de tomar la decisión de </w:t>
      </w:r>
      <w:r w:rsidRPr="0052430E">
        <w:rPr>
          <w:rFonts w:ascii="Arial" w:hAnsi="Arial" w:cs="Arial"/>
          <w:sz w:val="22"/>
          <w:szCs w:val="22"/>
        </w:rPr>
        <w:lastRenderedPageBreak/>
        <w:t xml:space="preserve">abandonar o permanecer en una institución, encontrándose que las tasas de deserción varían de acuerdo con la </w:t>
      </w:r>
      <w:r w:rsidR="00BA732D" w:rsidRPr="0052430E">
        <w:rPr>
          <w:rFonts w:ascii="Arial" w:hAnsi="Arial" w:cs="Arial"/>
          <w:sz w:val="22"/>
          <w:szCs w:val="22"/>
        </w:rPr>
        <w:t>cantidad y</w:t>
      </w:r>
      <w:r w:rsidRPr="0052430E">
        <w:rPr>
          <w:rFonts w:ascii="Arial" w:hAnsi="Arial" w:cs="Arial"/>
          <w:sz w:val="22"/>
          <w:szCs w:val="22"/>
        </w:rPr>
        <w:t xml:space="preserve"> duración de la ayuda financiera con la cuenta el estudiante. </w:t>
      </w: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 </w:t>
      </w:r>
    </w:p>
    <w:p w:rsidR="00D91D8B" w:rsidRPr="0052430E" w:rsidRDefault="00D91D8B" w:rsidP="00D91D8B">
      <w:pPr>
        <w:pStyle w:val="Prrafodelista"/>
        <w:ind w:left="0"/>
        <w:jc w:val="both"/>
        <w:rPr>
          <w:rFonts w:ascii="Arial" w:hAnsi="Arial" w:cs="Arial"/>
        </w:rPr>
      </w:pPr>
      <w:r w:rsidRPr="0052430E">
        <w:rPr>
          <w:rFonts w:ascii="Arial" w:hAnsi="Arial" w:cs="Arial"/>
          <w:b/>
        </w:rPr>
        <w:t>2.2.4 Modelos organizacionales:</w:t>
      </w:r>
      <w:r w:rsidRPr="0052430E">
        <w:rPr>
          <w:rFonts w:ascii="Arial" w:hAnsi="Arial" w:cs="Arial"/>
        </w:rPr>
        <w:t xml:space="preserve"> Los modelos organizacionales o institucionales dados a conocer por </w:t>
      </w:r>
      <w:proofErr w:type="spellStart"/>
      <w:r w:rsidRPr="0052430E">
        <w:rPr>
          <w:rFonts w:ascii="Arial" w:hAnsi="Arial" w:cs="Arial"/>
        </w:rPr>
        <w:t>Braxton</w:t>
      </w:r>
      <w:proofErr w:type="spellEnd"/>
      <w:r w:rsidRPr="0052430E">
        <w:rPr>
          <w:rFonts w:ascii="Arial" w:hAnsi="Arial" w:cs="Arial"/>
        </w:rPr>
        <w:t xml:space="preserve"> et al. (1997), Berger et al., (2000), Berger (2002) y </w:t>
      </w:r>
      <w:proofErr w:type="spellStart"/>
      <w:r w:rsidRPr="0052430E">
        <w:rPr>
          <w:rFonts w:ascii="Arial" w:hAnsi="Arial" w:cs="Arial"/>
        </w:rPr>
        <w:t>Kuh</w:t>
      </w:r>
      <w:proofErr w:type="spellEnd"/>
      <w:r w:rsidRPr="0052430E">
        <w:rPr>
          <w:rFonts w:ascii="Arial" w:hAnsi="Arial" w:cs="Arial"/>
        </w:rPr>
        <w:t xml:space="preserve"> (2002), sostienen que la deserción depende de las características de la Institución y los servicios que ofrece a los estudiante dentro de la integración social del estudiante. Estos modelos tienen en cuenta aspectos como la calidad de los docentes, las experiencias de los estudiantes durante sus estudios, los beneficios de bienestar social brindados por la Institución, el apoyo académico, los recursos bibliográficos, la infraestructura, los recursos universitarios y el número de estudiantes por docente.</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b/>
          <w:sz w:val="22"/>
          <w:szCs w:val="22"/>
        </w:rPr>
        <w:t>2.2.5 Modelos de interacción:</w:t>
      </w:r>
      <w:r w:rsidRPr="0052430E">
        <w:rPr>
          <w:rFonts w:ascii="Arial" w:hAnsi="Arial" w:cs="Arial"/>
          <w:sz w:val="22"/>
          <w:szCs w:val="22"/>
        </w:rPr>
        <w:t xml:space="preserve"> Entre los modelos de interacción se encuentra el ‘Modelo de Integración’ del estudiante propuesto por Tinto (1975), el ‘Modelo de Desgaste’ del estudiante propuesto por </w:t>
      </w:r>
      <w:proofErr w:type="spellStart"/>
      <w:r w:rsidRPr="0052430E">
        <w:rPr>
          <w:rFonts w:ascii="Arial" w:hAnsi="Arial" w:cs="Arial"/>
          <w:sz w:val="22"/>
          <w:szCs w:val="22"/>
        </w:rPr>
        <w:t>Bean</w:t>
      </w:r>
      <w:proofErr w:type="spellEnd"/>
      <w:r w:rsidRPr="0052430E">
        <w:rPr>
          <w:rFonts w:ascii="Arial" w:hAnsi="Arial" w:cs="Arial"/>
          <w:sz w:val="22"/>
          <w:szCs w:val="22"/>
        </w:rPr>
        <w:t xml:space="preserve"> (1980). Algunos modelos resultantes de la combinación de estos, también son considerados modelos de Interacción. </w:t>
      </w:r>
    </w:p>
    <w:p w:rsidR="00D91D8B" w:rsidRPr="0052430E" w:rsidRDefault="00D91D8B" w:rsidP="00D91D8B">
      <w:pPr>
        <w:pStyle w:val="Prrafodelista"/>
        <w:ind w:left="357"/>
        <w:jc w:val="both"/>
        <w:rPr>
          <w:rFonts w:ascii="Arial" w:hAnsi="Arial" w:cs="Arial"/>
          <w:lang w:val="es-ES"/>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El Modelo de Tinto está relacionado con el proceso de ‘Integración’ del estudiante al ambiente universitario, pues la permanencia de los estudiantes en la Educación Superior es el resultado de la integración del estudiante y la institución, tomando como base sus experiencias académicas y sociales. También, sugiere que ésta integración depende de las experiencias durante los estudios en la Universidad, las experiencias previas al inicio de los estudios y las características individuales del estudiante.  </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A partir del modelo de Tinto, otros autores han realizado algunas investigaciones, por ejemplo </w:t>
      </w:r>
      <w:proofErr w:type="spellStart"/>
      <w:r w:rsidRPr="0052430E">
        <w:rPr>
          <w:rFonts w:ascii="Arial" w:hAnsi="Arial" w:cs="Arial"/>
          <w:sz w:val="22"/>
          <w:szCs w:val="22"/>
        </w:rPr>
        <w:t>Adelman</w:t>
      </w:r>
      <w:proofErr w:type="spellEnd"/>
      <w:r w:rsidRPr="0052430E">
        <w:rPr>
          <w:rFonts w:ascii="Arial" w:hAnsi="Arial" w:cs="Arial"/>
          <w:sz w:val="22"/>
          <w:szCs w:val="22"/>
        </w:rPr>
        <w:t xml:space="preserve"> (1999), realiza un estudio en Estados Unidos con base en datos </w:t>
      </w:r>
      <w:r w:rsidRPr="0052430E">
        <w:rPr>
          <w:rFonts w:ascii="Arial" w:hAnsi="Arial" w:cs="Arial"/>
          <w:sz w:val="22"/>
          <w:szCs w:val="22"/>
        </w:rPr>
        <w:lastRenderedPageBreak/>
        <w:t xml:space="preserve">estadísticos de este país, concluyendo que los factores que influyen en la deserción son los recursos académicos y la asistencia a clase. Así mismo, Robinson (1990), establece que la deserción está relacionada con la relación que tenga el estudiante con profesores y compañeros, resaltándose que este fenómeno se presenta con un mayor nivel en la deserción temprana. A su vez, </w:t>
      </w:r>
      <w:proofErr w:type="spellStart"/>
      <w:r w:rsidRPr="0052430E">
        <w:rPr>
          <w:rFonts w:ascii="Arial" w:hAnsi="Arial" w:cs="Arial"/>
          <w:sz w:val="22"/>
          <w:szCs w:val="22"/>
        </w:rPr>
        <w:t>Redcliffe</w:t>
      </w:r>
      <w:proofErr w:type="spellEnd"/>
      <w:r w:rsidRPr="0052430E">
        <w:rPr>
          <w:rFonts w:ascii="Arial" w:hAnsi="Arial" w:cs="Arial"/>
          <w:sz w:val="22"/>
          <w:szCs w:val="22"/>
        </w:rPr>
        <w:t xml:space="preserve"> et al. (2006) propone que las causas que principalmente generan la deserción son el rendimiento académico, los cursos vacacionales y el vivir fuera de la Universidad.  Por el contrario, </w:t>
      </w:r>
      <w:proofErr w:type="spellStart"/>
      <w:r w:rsidRPr="0052430E">
        <w:rPr>
          <w:rFonts w:ascii="Arial" w:hAnsi="Arial" w:cs="Arial"/>
          <w:sz w:val="22"/>
          <w:szCs w:val="22"/>
        </w:rPr>
        <w:t>Jhones</w:t>
      </w:r>
      <w:proofErr w:type="spellEnd"/>
      <w:r w:rsidRPr="0052430E">
        <w:rPr>
          <w:rFonts w:ascii="Arial" w:hAnsi="Arial" w:cs="Arial"/>
          <w:sz w:val="22"/>
          <w:szCs w:val="22"/>
        </w:rPr>
        <w:t xml:space="preserve"> – White et al. (2008), nos indica que el hecho de que un estudiante no sea admitido por primera vez a la Universidad, los créditos aprobados y los intentos de abandonar no influyen en la decisión de un estudiante al momento de desertar de la Universidad.</w:t>
      </w:r>
    </w:p>
    <w:p w:rsidR="00D91D8B" w:rsidRPr="0052430E" w:rsidRDefault="00D91D8B" w:rsidP="00D91D8B">
      <w:pPr>
        <w:pStyle w:val="Textoindependiente2"/>
        <w:rPr>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Otros autores que han utilizado el modelo de Tinto como referencia son: Anderson (1981), </w:t>
      </w:r>
      <w:proofErr w:type="spellStart"/>
      <w:r w:rsidRPr="0052430E">
        <w:rPr>
          <w:rFonts w:ascii="Arial" w:hAnsi="Arial" w:cs="Arial"/>
          <w:sz w:val="22"/>
          <w:szCs w:val="22"/>
        </w:rPr>
        <w:t>Pascarella</w:t>
      </w:r>
      <w:proofErr w:type="spellEnd"/>
      <w:r w:rsidRPr="0052430E">
        <w:rPr>
          <w:rFonts w:ascii="Arial" w:hAnsi="Arial" w:cs="Arial"/>
          <w:sz w:val="22"/>
          <w:szCs w:val="22"/>
        </w:rPr>
        <w:t xml:space="preserve"> et al., (1983 a. 1983 b), </w:t>
      </w:r>
      <w:proofErr w:type="spellStart"/>
      <w:r w:rsidRPr="0052430E">
        <w:rPr>
          <w:rFonts w:ascii="Arial" w:hAnsi="Arial" w:cs="Arial"/>
          <w:sz w:val="22"/>
          <w:szCs w:val="22"/>
        </w:rPr>
        <w:t>Pascarella</w:t>
      </w:r>
      <w:proofErr w:type="spellEnd"/>
      <w:r w:rsidRPr="0052430E">
        <w:rPr>
          <w:rFonts w:ascii="Arial" w:hAnsi="Arial" w:cs="Arial"/>
          <w:sz w:val="22"/>
          <w:szCs w:val="22"/>
        </w:rPr>
        <w:t xml:space="preserve"> et al., (1985), </w:t>
      </w:r>
      <w:proofErr w:type="spellStart"/>
      <w:r w:rsidRPr="0052430E">
        <w:rPr>
          <w:rFonts w:ascii="Arial" w:hAnsi="Arial" w:cs="Arial"/>
          <w:sz w:val="22"/>
          <w:szCs w:val="22"/>
        </w:rPr>
        <w:t>Pascarella</w:t>
      </w:r>
      <w:proofErr w:type="spellEnd"/>
      <w:r w:rsidRPr="0052430E">
        <w:rPr>
          <w:rFonts w:ascii="Arial" w:hAnsi="Arial" w:cs="Arial"/>
          <w:sz w:val="22"/>
          <w:szCs w:val="22"/>
        </w:rPr>
        <w:t xml:space="preserve"> et al. (1986), </w:t>
      </w:r>
      <w:proofErr w:type="spellStart"/>
      <w:r w:rsidRPr="0052430E">
        <w:rPr>
          <w:rFonts w:ascii="Arial" w:hAnsi="Arial" w:cs="Arial"/>
          <w:sz w:val="22"/>
          <w:szCs w:val="22"/>
        </w:rPr>
        <w:t>Braxton</w:t>
      </w:r>
      <w:proofErr w:type="spellEnd"/>
      <w:r w:rsidRPr="0052430E">
        <w:rPr>
          <w:rFonts w:ascii="Arial" w:hAnsi="Arial" w:cs="Arial"/>
          <w:sz w:val="22"/>
          <w:szCs w:val="22"/>
        </w:rPr>
        <w:t xml:space="preserve"> et al., (1989). Estos autores concluyen que a pesar de que la integración social y la integración académica son importantes en la decisión de desertar por parte de un estudiante, no tienen la misma importancia en todos ellos, teniendo en cuenta que la Institución no influye directamente en la integración social del estudiante, pero si puede influir en su integración académica. </w:t>
      </w:r>
    </w:p>
    <w:p w:rsidR="00D91D8B" w:rsidRPr="0052430E" w:rsidRDefault="00D91D8B" w:rsidP="00D91D8B">
      <w:pPr>
        <w:jc w:val="both"/>
        <w:rPr>
          <w:rFonts w:ascii="Arial" w:hAnsi="Arial" w:cs="Arial"/>
          <w:sz w:val="22"/>
          <w:szCs w:val="22"/>
        </w:rPr>
      </w:pPr>
    </w:p>
    <w:p w:rsidR="00D91D8B" w:rsidRPr="0052430E" w:rsidRDefault="00831DAC" w:rsidP="00D91D8B">
      <w:pPr>
        <w:jc w:val="both"/>
        <w:rPr>
          <w:rFonts w:ascii="Arial" w:hAnsi="Arial" w:cs="Arial"/>
          <w:sz w:val="22"/>
          <w:szCs w:val="22"/>
        </w:rPr>
      </w:pPr>
      <w:r>
        <w:rPr>
          <w:rFonts w:ascii="Arial" w:hAnsi="Arial" w:cs="Arial"/>
          <w:sz w:val="22"/>
          <w:szCs w:val="22"/>
        </w:rPr>
        <w:t>El modelo de ‘</w:t>
      </w:r>
      <w:r>
        <w:rPr>
          <w:rFonts w:ascii="Arial" w:hAnsi="Arial" w:cs="Arial"/>
          <w:sz w:val="22"/>
          <w:szCs w:val="22"/>
        </w:rPr>
        <w:tab/>
        <w:t>Desgaste del E</w:t>
      </w:r>
      <w:r w:rsidR="00D91D8B" w:rsidRPr="0052430E">
        <w:rPr>
          <w:rFonts w:ascii="Arial" w:hAnsi="Arial" w:cs="Arial"/>
          <w:sz w:val="22"/>
          <w:szCs w:val="22"/>
        </w:rPr>
        <w:t>studiante</w:t>
      </w:r>
      <w:r>
        <w:rPr>
          <w:rFonts w:ascii="Arial" w:hAnsi="Arial" w:cs="Arial"/>
          <w:sz w:val="22"/>
          <w:szCs w:val="22"/>
        </w:rPr>
        <w:t>’</w:t>
      </w:r>
      <w:r w:rsidR="00D91D8B" w:rsidRPr="0052430E">
        <w:rPr>
          <w:rFonts w:ascii="Arial" w:hAnsi="Arial" w:cs="Arial"/>
          <w:sz w:val="22"/>
          <w:szCs w:val="22"/>
        </w:rPr>
        <w:t xml:space="preserve"> propuesto por </w:t>
      </w:r>
      <w:proofErr w:type="spellStart"/>
      <w:r w:rsidR="00D91D8B" w:rsidRPr="0052430E">
        <w:rPr>
          <w:rFonts w:ascii="Arial" w:hAnsi="Arial" w:cs="Arial"/>
          <w:sz w:val="22"/>
          <w:szCs w:val="22"/>
        </w:rPr>
        <w:t>Bean</w:t>
      </w:r>
      <w:proofErr w:type="spellEnd"/>
      <w:r w:rsidR="00D91D8B" w:rsidRPr="0052430E">
        <w:rPr>
          <w:rFonts w:ascii="Arial" w:hAnsi="Arial" w:cs="Arial"/>
          <w:sz w:val="22"/>
          <w:szCs w:val="22"/>
        </w:rPr>
        <w:t xml:space="preserve"> (1980), es el resultado de la incorporación y </w:t>
      </w:r>
      <w:r w:rsidR="005A0B07">
        <w:rPr>
          <w:rFonts w:ascii="Arial" w:hAnsi="Arial" w:cs="Arial"/>
          <w:sz w:val="22"/>
          <w:szCs w:val="22"/>
        </w:rPr>
        <w:t xml:space="preserve">la </w:t>
      </w:r>
      <w:r w:rsidR="00D91D8B" w:rsidRPr="0052430E">
        <w:rPr>
          <w:rFonts w:ascii="Arial" w:hAnsi="Arial" w:cs="Arial"/>
          <w:sz w:val="22"/>
          <w:szCs w:val="22"/>
        </w:rPr>
        <w:t xml:space="preserve">adaptación de las características del modelo de productividad en el contexto </w:t>
      </w:r>
      <w:r w:rsidR="00793F86">
        <w:rPr>
          <w:rFonts w:ascii="Arial" w:hAnsi="Arial" w:cs="Arial"/>
          <w:sz w:val="22"/>
          <w:szCs w:val="22"/>
        </w:rPr>
        <w:t>de las organizaciones laborales</w:t>
      </w:r>
      <w:r w:rsidR="00D91D8B" w:rsidRPr="0052430E">
        <w:rPr>
          <w:rFonts w:ascii="Arial" w:hAnsi="Arial" w:cs="Arial"/>
          <w:sz w:val="22"/>
          <w:szCs w:val="22"/>
        </w:rPr>
        <w:t xml:space="preserve"> al modelo de Tinto (1975), y en un ambiente relacionado con la educación superior, con el propósito de satisfacer los estudios de la misma forma que se satisface el trabajo laboral. Este modelo ha sido estudiado por autores como: </w:t>
      </w:r>
      <w:proofErr w:type="spellStart"/>
      <w:r w:rsidR="00D91D8B" w:rsidRPr="0052430E">
        <w:rPr>
          <w:rFonts w:ascii="Arial" w:hAnsi="Arial" w:cs="Arial"/>
          <w:sz w:val="22"/>
          <w:szCs w:val="22"/>
          <w:lang w:eastAsia="es-MX"/>
        </w:rPr>
        <w:t>Willett</w:t>
      </w:r>
      <w:proofErr w:type="spellEnd"/>
      <w:r w:rsidR="00D91D8B" w:rsidRPr="0052430E">
        <w:rPr>
          <w:rFonts w:ascii="Arial" w:hAnsi="Arial" w:cs="Arial"/>
          <w:sz w:val="22"/>
          <w:szCs w:val="22"/>
          <w:lang w:eastAsia="es-MX"/>
        </w:rPr>
        <w:t xml:space="preserve"> et al., (1991), </w:t>
      </w:r>
      <w:proofErr w:type="spellStart"/>
      <w:r w:rsidR="00D91D8B" w:rsidRPr="0052430E">
        <w:rPr>
          <w:rFonts w:ascii="Arial" w:hAnsi="Arial" w:cs="Arial"/>
          <w:sz w:val="22"/>
          <w:szCs w:val="22"/>
          <w:lang w:eastAsia="es-MX"/>
        </w:rPr>
        <w:t>Cerioni</w:t>
      </w:r>
      <w:proofErr w:type="spellEnd"/>
      <w:r w:rsidR="00D91D8B" w:rsidRPr="0052430E">
        <w:rPr>
          <w:rFonts w:ascii="Arial" w:hAnsi="Arial" w:cs="Arial"/>
          <w:sz w:val="22"/>
          <w:szCs w:val="22"/>
          <w:lang w:eastAsia="es-MX"/>
        </w:rPr>
        <w:t xml:space="preserve"> et al., (1999), </w:t>
      </w:r>
      <w:r w:rsidR="00D91D8B" w:rsidRPr="0052430E">
        <w:rPr>
          <w:rFonts w:ascii="Arial" w:hAnsi="Arial" w:cs="Arial"/>
          <w:sz w:val="22"/>
          <w:szCs w:val="22"/>
        </w:rPr>
        <w:t>Montoya (1999), Pagua, et al. (2000), Porto et al., (2000)</w:t>
      </w:r>
      <w:r w:rsidR="00D91D8B" w:rsidRPr="0052430E">
        <w:rPr>
          <w:rFonts w:ascii="Arial" w:hAnsi="Arial" w:cs="Arial"/>
          <w:sz w:val="22"/>
          <w:szCs w:val="22"/>
          <w:lang w:eastAsia="es-MX"/>
        </w:rPr>
        <w:t xml:space="preserve">, Aina (2005) y </w:t>
      </w:r>
      <w:proofErr w:type="spellStart"/>
      <w:r w:rsidR="00D91D8B" w:rsidRPr="0052430E">
        <w:rPr>
          <w:rFonts w:ascii="Arial" w:hAnsi="Arial" w:cs="Arial"/>
          <w:sz w:val="22"/>
          <w:szCs w:val="22"/>
        </w:rPr>
        <w:t>Giovagnoli</w:t>
      </w:r>
      <w:proofErr w:type="spellEnd"/>
      <w:r w:rsidR="00D91D8B" w:rsidRPr="0052430E">
        <w:rPr>
          <w:rFonts w:ascii="Arial" w:hAnsi="Arial" w:cs="Arial"/>
          <w:sz w:val="22"/>
          <w:szCs w:val="22"/>
        </w:rPr>
        <w:t xml:space="preserve"> (2002). </w:t>
      </w:r>
    </w:p>
    <w:p w:rsidR="00D91D8B" w:rsidRPr="0052430E" w:rsidRDefault="00D91D8B" w:rsidP="00D91D8B">
      <w:pPr>
        <w:jc w:val="both"/>
        <w:rPr>
          <w:rFonts w:ascii="Arial" w:hAnsi="Arial" w:cs="Arial"/>
          <w:sz w:val="22"/>
          <w:szCs w:val="22"/>
        </w:rPr>
      </w:pPr>
      <w:r w:rsidRPr="0052430E">
        <w:rPr>
          <w:rFonts w:ascii="Arial" w:hAnsi="Arial" w:cs="Arial"/>
          <w:sz w:val="22"/>
          <w:szCs w:val="22"/>
        </w:rPr>
        <w:lastRenderedPageBreak/>
        <w:t xml:space="preserve">Finalmente, otros autores entre ellos, Cabrera, et al. (1993), ICFES – </w:t>
      </w:r>
      <w:proofErr w:type="spellStart"/>
      <w:r w:rsidRPr="0052430E">
        <w:rPr>
          <w:rFonts w:ascii="Arial" w:hAnsi="Arial" w:cs="Arial"/>
          <w:sz w:val="22"/>
          <w:szCs w:val="22"/>
        </w:rPr>
        <w:t>UNAL</w:t>
      </w:r>
      <w:proofErr w:type="spellEnd"/>
      <w:r w:rsidRPr="0052430E">
        <w:rPr>
          <w:rFonts w:ascii="Arial" w:hAnsi="Arial" w:cs="Arial"/>
          <w:sz w:val="22"/>
          <w:szCs w:val="22"/>
        </w:rPr>
        <w:t xml:space="preserve"> (2002), Castaño, et al. (2004 y 2007)</w:t>
      </w:r>
      <w:r w:rsidRPr="0052430E">
        <w:rPr>
          <w:rFonts w:ascii="Arial" w:hAnsi="Arial" w:cs="Arial"/>
          <w:sz w:val="22"/>
          <w:szCs w:val="22"/>
          <w:lang w:eastAsia="es-MX"/>
        </w:rPr>
        <w:t>, Pinto </w:t>
      </w:r>
      <w:r w:rsidRPr="0052430E">
        <w:rPr>
          <w:rFonts w:ascii="Arial" w:hAnsi="Arial" w:cs="Arial"/>
          <w:iCs/>
          <w:sz w:val="22"/>
          <w:szCs w:val="22"/>
          <w:lang w:eastAsia="es-MX"/>
        </w:rPr>
        <w:t>et al</w:t>
      </w:r>
      <w:r w:rsidRPr="0052430E">
        <w:rPr>
          <w:rFonts w:ascii="Arial" w:hAnsi="Arial" w:cs="Arial"/>
          <w:sz w:val="22"/>
          <w:szCs w:val="22"/>
          <w:lang w:eastAsia="es-MX"/>
        </w:rPr>
        <w:t xml:space="preserve">. (2007), Lopera (2008), CEDE – UNIANDES (2008), </w:t>
      </w:r>
      <w:r w:rsidRPr="0052430E">
        <w:rPr>
          <w:rFonts w:ascii="Arial" w:hAnsi="Arial" w:cs="Arial"/>
          <w:sz w:val="22"/>
          <w:szCs w:val="22"/>
        </w:rPr>
        <w:t xml:space="preserve">Ministerio de Educación de Colombia – </w:t>
      </w:r>
      <w:proofErr w:type="spellStart"/>
      <w:r w:rsidRPr="0052430E">
        <w:rPr>
          <w:rFonts w:ascii="Arial" w:hAnsi="Arial" w:cs="Arial"/>
          <w:sz w:val="22"/>
          <w:szCs w:val="22"/>
        </w:rPr>
        <w:t>SPADIES</w:t>
      </w:r>
      <w:proofErr w:type="spellEnd"/>
      <w:r w:rsidRPr="0052430E">
        <w:rPr>
          <w:rFonts w:ascii="Arial" w:hAnsi="Arial" w:cs="Arial"/>
          <w:sz w:val="22"/>
          <w:szCs w:val="22"/>
        </w:rPr>
        <w:t xml:space="preserve"> (2008), han propuestos nuevos modelos como resultado de la combinación de los modelos de interacción. Como se puede observar las investigaciones previas están encaminadas a proponer modelos de diferentes tipos que incluyen los diferentes factores y un conjunto de variables relacionadas con el tema de estudio. </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Haciendo un análisis cronológico en el uso de los modelos de deserción se puede observar que en la década de los 70 se desarrollaron algunos trabajos relacionados con los modelos psicológicos, los modelos sociales y el modelo de integración, sobresaliendo autores como: </w:t>
      </w:r>
      <w:proofErr w:type="spellStart"/>
      <w:r w:rsidRPr="0052430E">
        <w:rPr>
          <w:rFonts w:ascii="Arial" w:hAnsi="Arial" w:cs="Arial"/>
          <w:sz w:val="22"/>
          <w:szCs w:val="22"/>
        </w:rPr>
        <w:t>Spady</w:t>
      </w:r>
      <w:proofErr w:type="spellEnd"/>
      <w:r w:rsidRPr="0052430E">
        <w:rPr>
          <w:rFonts w:ascii="Arial" w:hAnsi="Arial" w:cs="Arial"/>
          <w:sz w:val="22"/>
          <w:szCs w:val="22"/>
        </w:rPr>
        <w:t xml:space="preserve"> (1970), </w:t>
      </w:r>
      <w:proofErr w:type="spellStart"/>
      <w:r w:rsidRPr="0052430E">
        <w:rPr>
          <w:rFonts w:ascii="Arial" w:hAnsi="Arial" w:cs="Arial"/>
          <w:sz w:val="22"/>
          <w:szCs w:val="22"/>
        </w:rPr>
        <w:t>Ajzen</w:t>
      </w:r>
      <w:proofErr w:type="spellEnd"/>
      <w:r w:rsidRPr="0052430E">
        <w:rPr>
          <w:rFonts w:ascii="Arial" w:hAnsi="Arial" w:cs="Arial"/>
          <w:sz w:val="22"/>
          <w:szCs w:val="22"/>
        </w:rPr>
        <w:t xml:space="preserve"> (1975) y Tinto (1975). Posteriormente, en la década de los 80, autores como Anderson (1981), </w:t>
      </w:r>
      <w:proofErr w:type="spellStart"/>
      <w:r w:rsidRPr="0052430E">
        <w:rPr>
          <w:rFonts w:ascii="Arial" w:hAnsi="Arial" w:cs="Arial"/>
          <w:sz w:val="22"/>
          <w:szCs w:val="22"/>
        </w:rPr>
        <w:t>Pascarella</w:t>
      </w:r>
      <w:proofErr w:type="spellEnd"/>
      <w:r w:rsidRPr="0052430E">
        <w:rPr>
          <w:rFonts w:ascii="Arial" w:hAnsi="Arial" w:cs="Arial"/>
          <w:sz w:val="22"/>
          <w:szCs w:val="22"/>
        </w:rPr>
        <w:t xml:space="preserve"> et. </w:t>
      </w:r>
      <w:proofErr w:type="gramStart"/>
      <w:r w:rsidRPr="0052430E">
        <w:rPr>
          <w:rFonts w:ascii="Arial" w:hAnsi="Arial" w:cs="Arial"/>
          <w:sz w:val="22"/>
          <w:szCs w:val="22"/>
        </w:rPr>
        <w:t>al</w:t>
      </w:r>
      <w:proofErr w:type="gramEnd"/>
      <w:r w:rsidRPr="0052430E">
        <w:rPr>
          <w:rFonts w:ascii="Arial" w:hAnsi="Arial" w:cs="Arial"/>
          <w:sz w:val="22"/>
          <w:szCs w:val="22"/>
        </w:rPr>
        <w:t xml:space="preserve">. (1983), </w:t>
      </w:r>
      <w:proofErr w:type="spellStart"/>
      <w:r w:rsidRPr="0052430E">
        <w:rPr>
          <w:rFonts w:ascii="Arial" w:hAnsi="Arial" w:cs="Arial"/>
          <w:sz w:val="22"/>
          <w:szCs w:val="22"/>
        </w:rPr>
        <w:t>Pascarella</w:t>
      </w:r>
      <w:proofErr w:type="spellEnd"/>
      <w:r w:rsidRPr="0052430E">
        <w:rPr>
          <w:rFonts w:ascii="Arial" w:hAnsi="Arial" w:cs="Arial"/>
          <w:sz w:val="22"/>
          <w:szCs w:val="22"/>
        </w:rPr>
        <w:t xml:space="preserve"> et. </w:t>
      </w:r>
      <w:proofErr w:type="gramStart"/>
      <w:r w:rsidRPr="0052430E">
        <w:rPr>
          <w:rFonts w:ascii="Arial" w:hAnsi="Arial" w:cs="Arial"/>
          <w:sz w:val="22"/>
          <w:szCs w:val="22"/>
        </w:rPr>
        <w:t>al</w:t>
      </w:r>
      <w:proofErr w:type="gramEnd"/>
      <w:r w:rsidRPr="0052430E">
        <w:rPr>
          <w:rFonts w:ascii="Arial" w:hAnsi="Arial" w:cs="Arial"/>
          <w:sz w:val="22"/>
          <w:szCs w:val="22"/>
        </w:rPr>
        <w:t xml:space="preserve">. (1986) y </w:t>
      </w:r>
      <w:proofErr w:type="spellStart"/>
      <w:r w:rsidRPr="0052430E">
        <w:rPr>
          <w:rFonts w:ascii="Arial" w:hAnsi="Arial" w:cs="Arial"/>
          <w:sz w:val="22"/>
          <w:szCs w:val="22"/>
        </w:rPr>
        <w:t>Braxton</w:t>
      </w:r>
      <w:proofErr w:type="spellEnd"/>
      <w:r w:rsidRPr="0052430E">
        <w:rPr>
          <w:rFonts w:ascii="Arial" w:hAnsi="Arial" w:cs="Arial"/>
          <w:sz w:val="22"/>
          <w:szCs w:val="22"/>
        </w:rPr>
        <w:t xml:space="preserve"> et al., (1989), se centraron en realizar trabajos relacionados con el modelo de desgaste propuesto por Tinto.</w:t>
      </w:r>
    </w:p>
    <w:p w:rsidR="00D91D8B" w:rsidRPr="0052430E" w:rsidRDefault="00D91D8B" w:rsidP="00D91D8B">
      <w:pPr>
        <w:pStyle w:val="Textoindependiente2"/>
        <w:rPr>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En los años 90, autores como </w:t>
      </w:r>
      <w:proofErr w:type="spellStart"/>
      <w:r w:rsidRPr="0052430E">
        <w:rPr>
          <w:rFonts w:ascii="Arial" w:hAnsi="Arial" w:cs="Arial"/>
          <w:sz w:val="22"/>
          <w:szCs w:val="22"/>
        </w:rPr>
        <w:t>Braxton</w:t>
      </w:r>
      <w:proofErr w:type="spellEnd"/>
      <w:r w:rsidRPr="0052430E">
        <w:rPr>
          <w:rFonts w:ascii="Arial" w:hAnsi="Arial" w:cs="Arial"/>
          <w:sz w:val="22"/>
          <w:szCs w:val="22"/>
        </w:rPr>
        <w:t xml:space="preserve"> (1997) y </w:t>
      </w:r>
      <w:proofErr w:type="spellStart"/>
      <w:r w:rsidRPr="0052430E">
        <w:rPr>
          <w:rFonts w:ascii="Arial" w:hAnsi="Arial" w:cs="Arial"/>
          <w:sz w:val="22"/>
          <w:szCs w:val="22"/>
        </w:rPr>
        <w:t>Shkhmandan</w:t>
      </w:r>
      <w:proofErr w:type="spellEnd"/>
      <w:r w:rsidRPr="0052430E">
        <w:rPr>
          <w:rFonts w:ascii="Arial" w:hAnsi="Arial" w:cs="Arial"/>
          <w:sz w:val="22"/>
          <w:szCs w:val="22"/>
        </w:rPr>
        <w:t xml:space="preserve"> (1998) desarrollaron trabajos relacionados con modelos </w:t>
      </w:r>
      <w:r w:rsidR="00BA732D" w:rsidRPr="0052430E">
        <w:rPr>
          <w:rFonts w:ascii="Arial" w:hAnsi="Arial" w:cs="Arial"/>
          <w:sz w:val="22"/>
          <w:szCs w:val="22"/>
        </w:rPr>
        <w:t>económicos y</w:t>
      </w:r>
      <w:r w:rsidRPr="0052430E">
        <w:rPr>
          <w:rFonts w:ascii="Arial" w:hAnsi="Arial" w:cs="Arial"/>
          <w:sz w:val="22"/>
          <w:szCs w:val="22"/>
        </w:rPr>
        <w:t xml:space="preserve"> modelos organizacionales, respectivamente. Por otra parte, </w:t>
      </w:r>
      <w:proofErr w:type="spellStart"/>
      <w:r w:rsidRPr="0052430E">
        <w:rPr>
          <w:rFonts w:ascii="Arial" w:hAnsi="Arial" w:cs="Arial"/>
          <w:sz w:val="22"/>
          <w:szCs w:val="22"/>
        </w:rPr>
        <w:t>Adelman</w:t>
      </w:r>
      <w:proofErr w:type="spellEnd"/>
      <w:r w:rsidRPr="0052430E">
        <w:rPr>
          <w:rFonts w:ascii="Arial" w:hAnsi="Arial" w:cs="Arial"/>
          <w:sz w:val="22"/>
          <w:szCs w:val="22"/>
        </w:rPr>
        <w:t xml:space="preserve"> (1999) desarrolló su trabajo con relación al modelo de integración del estudiante, mientras que </w:t>
      </w:r>
      <w:proofErr w:type="spellStart"/>
      <w:r w:rsidRPr="0052430E">
        <w:rPr>
          <w:rFonts w:ascii="Arial" w:hAnsi="Arial" w:cs="Arial"/>
          <w:sz w:val="22"/>
          <w:szCs w:val="22"/>
        </w:rPr>
        <w:t>Willett</w:t>
      </w:r>
      <w:proofErr w:type="spellEnd"/>
      <w:r w:rsidRPr="0052430E">
        <w:rPr>
          <w:rFonts w:ascii="Arial" w:hAnsi="Arial" w:cs="Arial"/>
          <w:sz w:val="22"/>
          <w:szCs w:val="22"/>
        </w:rPr>
        <w:t xml:space="preserve"> et al., (1991), Montoya (1999) y </w:t>
      </w:r>
      <w:proofErr w:type="spellStart"/>
      <w:r w:rsidRPr="0052430E">
        <w:rPr>
          <w:rFonts w:ascii="Arial" w:hAnsi="Arial" w:cs="Arial"/>
          <w:sz w:val="22"/>
          <w:szCs w:val="22"/>
        </w:rPr>
        <w:t>Cerioni</w:t>
      </w:r>
      <w:proofErr w:type="spellEnd"/>
      <w:r w:rsidRPr="0052430E">
        <w:rPr>
          <w:rFonts w:ascii="Arial" w:hAnsi="Arial" w:cs="Arial"/>
          <w:sz w:val="22"/>
          <w:szCs w:val="22"/>
        </w:rPr>
        <w:t xml:space="preserve"> et al., (1999) lo hicieron basados en el modelo de desgaste del estudiante. Por su parte, Cabrera et al (1993) integró varios modelos en uno solo, generándose el primer modelo combinado.</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A partir del año 2000, los autores han estudiado los diferentes modelos de deserción, encontrándose una inclinación inicial por los modelos psicológicos estudiados por </w:t>
      </w:r>
      <w:proofErr w:type="spellStart"/>
      <w:r w:rsidRPr="0052430E">
        <w:rPr>
          <w:rFonts w:ascii="Arial" w:hAnsi="Arial" w:cs="Arial"/>
          <w:sz w:val="22"/>
          <w:szCs w:val="22"/>
        </w:rPr>
        <w:t>Bean</w:t>
      </w:r>
      <w:proofErr w:type="spellEnd"/>
      <w:r w:rsidRPr="0052430E">
        <w:rPr>
          <w:rFonts w:ascii="Arial" w:hAnsi="Arial" w:cs="Arial"/>
          <w:sz w:val="22"/>
          <w:szCs w:val="22"/>
        </w:rPr>
        <w:t xml:space="preserve"> et al., (2001), los económicos estudiados por </w:t>
      </w:r>
      <w:proofErr w:type="spellStart"/>
      <w:r w:rsidRPr="0052430E">
        <w:rPr>
          <w:rFonts w:ascii="Arial" w:hAnsi="Arial" w:cs="Arial"/>
          <w:sz w:val="22"/>
          <w:szCs w:val="22"/>
        </w:rPr>
        <w:t>St</w:t>
      </w:r>
      <w:proofErr w:type="spellEnd"/>
      <w:r w:rsidRPr="0052430E">
        <w:rPr>
          <w:rFonts w:ascii="Arial" w:hAnsi="Arial" w:cs="Arial"/>
          <w:sz w:val="22"/>
          <w:szCs w:val="22"/>
        </w:rPr>
        <w:t xml:space="preserve"> Jhon et al. </w:t>
      </w:r>
      <w:r w:rsidRPr="0052430E">
        <w:rPr>
          <w:rFonts w:ascii="Arial" w:hAnsi="Arial" w:cs="Arial"/>
          <w:sz w:val="22"/>
          <w:szCs w:val="22"/>
        </w:rPr>
        <w:lastRenderedPageBreak/>
        <w:t xml:space="preserve">(2000); Bernal et al. (2000); </w:t>
      </w:r>
      <w:proofErr w:type="spellStart"/>
      <w:r w:rsidRPr="0052430E">
        <w:rPr>
          <w:rFonts w:ascii="Arial" w:hAnsi="Arial" w:cs="Arial"/>
          <w:sz w:val="22"/>
          <w:szCs w:val="22"/>
        </w:rPr>
        <w:t>Ishitani</w:t>
      </w:r>
      <w:proofErr w:type="spellEnd"/>
      <w:r w:rsidRPr="0052430E">
        <w:rPr>
          <w:rFonts w:ascii="Arial" w:hAnsi="Arial" w:cs="Arial"/>
          <w:sz w:val="22"/>
          <w:szCs w:val="22"/>
        </w:rPr>
        <w:t xml:space="preserve"> et l.,  (2002) y los organizacionales estudiados por Berger et al., (2000); </w:t>
      </w:r>
      <w:proofErr w:type="spellStart"/>
      <w:r w:rsidRPr="0052430E">
        <w:rPr>
          <w:rFonts w:ascii="Arial" w:hAnsi="Arial" w:cs="Arial"/>
          <w:sz w:val="22"/>
          <w:szCs w:val="22"/>
        </w:rPr>
        <w:t>Kuh</w:t>
      </w:r>
      <w:proofErr w:type="spellEnd"/>
      <w:r w:rsidRPr="0052430E">
        <w:rPr>
          <w:rFonts w:ascii="Arial" w:hAnsi="Arial" w:cs="Arial"/>
          <w:sz w:val="22"/>
          <w:szCs w:val="22"/>
        </w:rPr>
        <w:t xml:space="preserve"> (2002); Berger (2002) y posteriormente, por los modelos de interacción: integración del estudiante estudiados por </w:t>
      </w:r>
      <w:proofErr w:type="spellStart"/>
      <w:r w:rsidRPr="0052430E">
        <w:rPr>
          <w:rFonts w:ascii="Arial" w:hAnsi="Arial" w:cs="Arial"/>
          <w:sz w:val="22"/>
          <w:szCs w:val="22"/>
        </w:rPr>
        <w:t>Redcliffe</w:t>
      </w:r>
      <w:proofErr w:type="spellEnd"/>
      <w:r w:rsidRPr="0052430E">
        <w:rPr>
          <w:rFonts w:ascii="Arial" w:hAnsi="Arial" w:cs="Arial"/>
          <w:sz w:val="22"/>
          <w:szCs w:val="22"/>
        </w:rPr>
        <w:t xml:space="preserve"> et al. (2006); </w:t>
      </w:r>
      <w:proofErr w:type="spellStart"/>
      <w:r w:rsidRPr="0052430E">
        <w:rPr>
          <w:rFonts w:ascii="Arial" w:hAnsi="Arial" w:cs="Arial"/>
          <w:sz w:val="22"/>
          <w:szCs w:val="22"/>
        </w:rPr>
        <w:t>Jhones</w:t>
      </w:r>
      <w:proofErr w:type="spellEnd"/>
      <w:r w:rsidRPr="0052430E">
        <w:rPr>
          <w:rFonts w:ascii="Arial" w:hAnsi="Arial" w:cs="Arial"/>
          <w:sz w:val="22"/>
          <w:szCs w:val="22"/>
        </w:rPr>
        <w:t xml:space="preserve"> - White et al. (2008) y desgaste del estudiante </w:t>
      </w:r>
      <w:r w:rsidR="006F1F61">
        <w:rPr>
          <w:rFonts w:ascii="Arial" w:hAnsi="Arial" w:cs="Arial"/>
          <w:sz w:val="22"/>
          <w:szCs w:val="22"/>
        </w:rPr>
        <w:t>tratado</w:t>
      </w:r>
      <w:r w:rsidRPr="0052430E">
        <w:rPr>
          <w:rFonts w:ascii="Arial" w:hAnsi="Arial" w:cs="Arial"/>
          <w:sz w:val="22"/>
          <w:szCs w:val="22"/>
        </w:rPr>
        <w:t xml:space="preserve"> por Porto et al., (2000); Pagua Et al. (2000); </w:t>
      </w:r>
      <w:proofErr w:type="spellStart"/>
      <w:r w:rsidRPr="0052430E">
        <w:rPr>
          <w:rFonts w:ascii="Arial" w:hAnsi="Arial" w:cs="Arial"/>
          <w:sz w:val="22"/>
          <w:szCs w:val="22"/>
        </w:rPr>
        <w:t>Giovagnoli</w:t>
      </w:r>
      <w:proofErr w:type="spellEnd"/>
      <w:r w:rsidRPr="0052430E">
        <w:rPr>
          <w:rFonts w:ascii="Arial" w:hAnsi="Arial" w:cs="Arial"/>
          <w:sz w:val="22"/>
          <w:szCs w:val="22"/>
        </w:rPr>
        <w:t xml:space="preserve"> (2002); Aina (2005). Sin embargo, a partir del año 2007 se han realizado estudios principalmente con base en modelos combinados que mezclan principalmente los modelos de integración y desgaste del estudiante (ICFES – </w:t>
      </w:r>
      <w:proofErr w:type="spellStart"/>
      <w:r w:rsidRPr="0052430E">
        <w:rPr>
          <w:rFonts w:ascii="Arial" w:hAnsi="Arial" w:cs="Arial"/>
          <w:sz w:val="22"/>
          <w:szCs w:val="22"/>
        </w:rPr>
        <w:t>UNAL</w:t>
      </w:r>
      <w:proofErr w:type="spellEnd"/>
      <w:r w:rsidRPr="0052430E">
        <w:rPr>
          <w:rFonts w:ascii="Arial" w:hAnsi="Arial" w:cs="Arial"/>
          <w:sz w:val="22"/>
          <w:szCs w:val="22"/>
        </w:rPr>
        <w:t xml:space="preserve"> (2002); Pinto Et al. (2007); Castaño Et al. (2007); CEDE - UNIANDES (2008); Lopera (2008)).</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b/>
          <w:sz w:val="22"/>
          <w:szCs w:val="22"/>
        </w:rPr>
      </w:pPr>
      <w:r w:rsidRPr="0052430E">
        <w:rPr>
          <w:rFonts w:ascii="Arial" w:hAnsi="Arial" w:cs="Arial"/>
          <w:b/>
          <w:sz w:val="22"/>
          <w:szCs w:val="22"/>
        </w:rPr>
        <w:t xml:space="preserve">2.3 Factores y variables en la deserción. </w:t>
      </w:r>
    </w:p>
    <w:p w:rsidR="00D91D8B" w:rsidRPr="0052430E" w:rsidRDefault="00D91D8B" w:rsidP="00D91D8B">
      <w:pPr>
        <w:jc w:val="both"/>
        <w:rPr>
          <w:rFonts w:ascii="Arial" w:hAnsi="Arial" w:cs="Arial"/>
          <w:i/>
          <w:sz w:val="22"/>
          <w:szCs w:val="22"/>
        </w:rPr>
      </w:pPr>
    </w:p>
    <w:p w:rsidR="00072927" w:rsidRPr="0052430E" w:rsidRDefault="00D91D8B" w:rsidP="00072927">
      <w:pPr>
        <w:jc w:val="both"/>
        <w:rPr>
          <w:rFonts w:ascii="Arial" w:hAnsi="Arial" w:cs="Arial"/>
          <w:sz w:val="22"/>
          <w:szCs w:val="22"/>
        </w:rPr>
      </w:pPr>
      <w:r w:rsidRPr="0052430E">
        <w:rPr>
          <w:rFonts w:ascii="Arial" w:hAnsi="Arial" w:cs="Arial"/>
          <w:sz w:val="22"/>
          <w:szCs w:val="22"/>
        </w:rPr>
        <w:t>El fenómeno de la deserción escolar se ha venido analizando desde finales del Siglo XIX desde diferentes perspectivas, modelos de análisis, factores y clasificación de variables, complementándose y adaptándose a los cambios que se han generado en la educación.</w:t>
      </w:r>
      <w:r w:rsidR="00072927">
        <w:rPr>
          <w:rFonts w:ascii="Arial" w:hAnsi="Arial" w:cs="Arial"/>
          <w:sz w:val="22"/>
          <w:szCs w:val="22"/>
        </w:rPr>
        <w:t xml:space="preserve"> </w:t>
      </w:r>
      <w:r w:rsidR="00072927" w:rsidRPr="0052430E">
        <w:rPr>
          <w:rFonts w:ascii="Arial" w:hAnsi="Arial" w:cs="Arial"/>
          <w:sz w:val="22"/>
          <w:szCs w:val="22"/>
        </w:rPr>
        <w:t>A continuación se describen algunos de los factores más representativos encontrados en la revisión de literatura:</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b/>
          <w:sz w:val="22"/>
          <w:szCs w:val="22"/>
          <w:lang w:eastAsia="es-MX"/>
        </w:rPr>
        <w:t>2.3.1 Factor individual:</w:t>
      </w:r>
      <w:r w:rsidRPr="0052430E">
        <w:rPr>
          <w:rFonts w:ascii="Arial" w:hAnsi="Arial" w:cs="Arial"/>
          <w:sz w:val="22"/>
          <w:szCs w:val="22"/>
          <w:lang w:eastAsia="es-MX"/>
        </w:rPr>
        <w:t xml:space="preserve"> El Factor Individual está relacionado con aquellas variables propias del estudiante y de su entorno familiar, es decir </w:t>
      </w:r>
      <w:r w:rsidRPr="0052430E">
        <w:rPr>
          <w:rFonts w:ascii="Arial" w:hAnsi="Arial" w:cs="Arial"/>
          <w:sz w:val="22"/>
          <w:szCs w:val="22"/>
        </w:rPr>
        <w:t xml:space="preserve">con las características demográficas, el comportamiento y el compromiso del individuo y su familia.  </w:t>
      </w:r>
    </w:p>
    <w:p w:rsidR="00D91D8B" w:rsidRPr="0052430E" w:rsidRDefault="00D91D8B" w:rsidP="00D91D8B">
      <w:pPr>
        <w:ind w:left="357"/>
        <w:jc w:val="both"/>
        <w:rPr>
          <w:rFonts w:ascii="Arial" w:hAnsi="Arial" w:cs="Arial"/>
          <w:sz w:val="22"/>
          <w:szCs w:val="22"/>
        </w:rPr>
      </w:pPr>
    </w:p>
    <w:p w:rsidR="00D91D8B" w:rsidRDefault="00D91D8B" w:rsidP="00D91D8B">
      <w:pPr>
        <w:jc w:val="both"/>
        <w:rPr>
          <w:rFonts w:ascii="Arial" w:hAnsi="Arial" w:cs="Arial"/>
          <w:sz w:val="22"/>
          <w:szCs w:val="22"/>
        </w:rPr>
      </w:pPr>
      <w:r w:rsidRPr="0052430E">
        <w:rPr>
          <w:rFonts w:ascii="Arial" w:hAnsi="Arial" w:cs="Arial"/>
          <w:b/>
          <w:sz w:val="22"/>
          <w:szCs w:val="22"/>
        </w:rPr>
        <w:t>2.3.2 Factor académico:</w:t>
      </w:r>
      <w:r w:rsidRPr="0052430E">
        <w:rPr>
          <w:rFonts w:ascii="Arial" w:hAnsi="Arial" w:cs="Arial"/>
          <w:sz w:val="22"/>
          <w:szCs w:val="22"/>
        </w:rPr>
        <w:t xml:space="preserve"> </w:t>
      </w:r>
      <w:r w:rsidRPr="0052430E">
        <w:rPr>
          <w:rFonts w:ascii="Arial" w:hAnsi="Arial" w:cs="Arial"/>
          <w:sz w:val="22"/>
          <w:szCs w:val="22"/>
          <w:lang w:eastAsia="es-MX"/>
        </w:rPr>
        <w:t>El Factor Académico está constituido por aquellas variables relacionadas con el comportamiento académico del estudiante y el programa académico que cursa, a</w:t>
      </w:r>
      <w:r w:rsidRPr="0052430E">
        <w:rPr>
          <w:rFonts w:ascii="Arial" w:hAnsi="Arial" w:cs="Arial"/>
          <w:sz w:val="22"/>
          <w:szCs w:val="22"/>
        </w:rPr>
        <w:t xml:space="preserve">l igual que la dinámica y orientación por parte de la institución.  </w:t>
      </w:r>
    </w:p>
    <w:p w:rsidR="00072927" w:rsidRDefault="00072927" w:rsidP="00D91D8B">
      <w:pPr>
        <w:jc w:val="both"/>
        <w:rPr>
          <w:rFonts w:ascii="Arial" w:hAnsi="Arial" w:cs="Arial"/>
          <w:sz w:val="22"/>
          <w:szCs w:val="22"/>
          <w:lang w:eastAsia="es-MX"/>
        </w:rPr>
      </w:pPr>
    </w:p>
    <w:p w:rsidR="00C85583" w:rsidRDefault="00C85583" w:rsidP="00D91D8B">
      <w:pPr>
        <w:jc w:val="both"/>
        <w:rPr>
          <w:rFonts w:ascii="Arial" w:hAnsi="Arial" w:cs="Arial"/>
          <w:sz w:val="22"/>
          <w:szCs w:val="22"/>
          <w:lang w:eastAsia="es-MX"/>
        </w:rPr>
      </w:pPr>
    </w:p>
    <w:p w:rsidR="00D91D8B" w:rsidRPr="0052430E" w:rsidRDefault="00D91D8B" w:rsidP="00D91D8B">
      <w:pPr>
        <w:autoSpaceDE w:val="0"/>
        <w:autoSpaceDN w:val="0"/>
        <w:adjustRightInd w:val="0"/>
        <w:jc w:val="both"/>
        <w:rPr>
          <w:rFonts w:ascii="Arial" w:hAnsi="Arial" w:cs="Arial"/>
          <w:sz w:val="22"/>
          <w:szCs w:val="22"/>
          <w:lang w:eastAsia="es-MX"/>
        </w:rPr>
      </w:pPr>
      <w:r w:rsidRPr="0052430E">
        <w:rPr>
          <w:rFonts w:ascii="Arial" w:hAnsi="Arial" w:cs="Arial"/>
          <w:b/>
          <w:sz w:val="22"/>
          <w:szCs w:val="22"/>
        </w:rPr>
        <w:t xml:space="preserve">2.3.3 Factor institucional: </w:t>
      </w:r>
      <w:r w:rsidRPr="0052430E">
        <w:rPr>
          <w:rFonts w:ascii="Arial" w:hAnsi="Arial" w:cs="Arial"/>
          <w:sz w:val="22"/>
          <w:szCs w:val="22"/>
        </w:rPr>
        <w:t xml:space="preserve">El factor Institucional hace referencia a aquellas variables relacionadas con las </w:t>
      </w:r>
      <w:r w:rsidRPr="0052430E">
        <w:rPr>
          <w:rFonts w:ascii="Arial" w:hAnsi="Arial" w:cs="Arial"/>
          <w:sz w:val="22"/>
          <w:szCs w:val="22"/>
        </w:rPr>
        <w:lastRenderedPageBreak/>
        <w:t xml:space="preserve">características de la institución donde se encuentra el individuo, es decir el carácter de la institución, la normatividad, la infraestructura y los servicios y benéficos que le brinda la Institución al estudiante. </w:t>
      </w:r>
    </w:p>
    <w:p w:rsidR="00D91D8B" w:rsidRPr="0052430E" w:rsidRDefault="00D91D8B" w:rsidP="00D91D8B">
      <w:pPr>
        <w:autoSpaceDE w:val="0"/>
        <w:autoSpaceDN w:val="0"/>
        <w:adjustRightInd w:val="0"/>
        <w:ind w:left="357"/>
        <w:jc w:val="both"/>
        <w:rPr>
          <w:rFonts w:ascii="Arial" w:hAnsi="Arial" w:cs="Arial"/>
          <w:sz w:val="22"/>
          <w:szCs w:val="22"/>
          <w:lang w:eastAsia="es-MX"/>
        </w:rPr>
      </w:pPr>
    </w:p>
    <w:p w:rsidR="00D91D8B" w:rsidRPr="0052430E" w:rsidRDefault="00D91D8B" w:rsidP="00D91D8B">
      <w:pPr>
        <w:jc w:val="both"/>
        <w:rPr>
          <w:rFonts w:ascii="Arial" w:hAnsi="Arial" w:cs="Arial"/>
          <w:sz w:val="22"/>
          <w:szCs w:val="22"/>
          <w:lang w:eastAsia="es-MX"/>
        </w:rPr>
      </w:pPr>
      <w:r w:rsidRPr="0052430E">
        <w:rPr>
          <w:rFonts w:ascii="Arial" w:hAnsi="Arial" w:cs="Arial"/>
          <w:b/>
          <w:sz w:val="22"/>
          <w:szCs w:val="22"/>
          <w:lang w:eastAsia="es-MX"/>
        </w:rPr>
        <w:t xml:space="preserve">2.3.4 Factor socioeconómico: </w:t>
      </w:r>
      <w:r w:rsidRPr="0052430E">
        <w:rPr>
          <w:rFonts w:ascii="Arial" w:hAnsi="Arial" w:cs="Arial"/>
          <w:sz w:val="22"/>
          <w:szCs w:val="22"/>
          <w:lang w:eastAsia="es-MX"/>
        </w:rPr>
        <w:t xml:space="preserve">El Factor Socioeconómico está relacionado con aquellas variables asociadas a la situación económica y el ambiente social </w:t>
      </w:r>
      <w:r w:rsidRPr="0052430E">
        <w:rPr>
          <w:rFonts w:ascii="Arial" w:hAnsi="Arial" w:cs="Arial"/>
          <w:sz w:val="22"/>
          <w:szCs w:val="22"/>
        </w:rPr>
        <w:t>en que se desarrolla el individuo y su familia</w:t>
      </w:r>
      <w:r w:rsidRPr="0052430E">
        <w:rPr>
          <w:rFonts w:ascii="Arial" w:hAnsi="Arial" w:cs="Arial"/>
          <w:sz w:val="22"/>
          <w:szCs w:val="22"/>
          <w:lang w:eastAsia="es-MX"/>
        </w:rPr>
        <w:t xml:space="preserve">. </w:t>
      </w:r>
    </w:p>
    <w:p w:rsidR="00D91D8B" w:rsidRPr="0052430E" w:rsidRDefault="00D91D8B" w:rsidP="00D91D8B">
      <w:pPr>
        <w:pStyle w:val="Prrafodelista"/>
        <w:rPr>
          <w:rFonts w:ascii="Arial" w:hAnsi="Arial" w:cs="Arial"/>
          <w:lang w:eastAsia="es-MX"/>
        </w:rPr>
      </w:pPr>
    </w:p>
    <w:p w:rsidR="00D91D8B" w:rsidRPr="0052430E" w:rsidRDefault="008C6912" w:rsidP="00D91D8B">
      <w:pPr>
        <w:rPr>
          <w:rFonts w:ascii="Arial" w:hAnsi="Arial" w:cs="Arial"/>
          <w:b/>
          <w:sz w:val="22"/>
          <w:szCs w:val="22"/>
        </w:rPr>
      </w:pPr>
      <w:r>
        <w:rPr>
          <w:rFonts w:ascii="Arial" w:hAnsi="Arial" w:cs="Arial"/>
          <w:b/>
          <w:sz w:val="22"/>
          <w:szCs w:val="22"/>
        </w:rPr>
        <w:t>3. Enfoque de priorización de variables en la d</w:t>
      </w:r>
      <w:r w:rsidR="00D91D8B" w:rsidRPr="0052430E">
        <w:rPr>
          <w:rFonts w:ascii="Arial" w:hAnsi="Arial" w:cs="Arial"/>
          <w:b/>
          <w:sz w:val="22"/>
          <w:szCs w:val="22"/>
        </w:rPr>
        <w:t>eserción</w:t>
      </w:r>
    </w:p>
    <w:p w:rsidR="00D91D8B" w:rsidRPr="0052430E" w:rsidRDefault="00D91D8B" w:rsidP="00D91D8B">
      <w:pPr>
        <w:rPr>
          <w:rFonts w:ascii="Arial" w:hAnsi="Arial" w:cs="Arial"/>
          <w:b/>
          <w:sz w:val="22"/>
          <w:szCs w:val="22"/>
        </w:rPr>
      </w:pPr>
    </w:p>
    <w:p w:rsidR="00D91D8B" w:rsidRPr="0052430E" w:rsidRDefault="00D91D8B" w:rsidP="00D91D8B">
      <w:pPr>
        <w:autoSpaceDE w:val="0"/>
        <w:autoSpaceDN w:val="0"/>
        <w:adjustRightInd w:val="0"/>
        <w:jc w:val="both"/>
        <w:rPr>
          <w:rFonts w:ascii="Arial" w:hAnsi="Arial" w:cs="Arial"/>
          <w:sz w:val="20"/>
          <w:szCs w:val="20"/>
        </w:rPr>
      </w:pPr>
      <w:r w:rsidRPr="0052430E">
        <w:rPr>
          <w:rFonts w:ascii="Arial" w:hAnsi="Arial" w:cs="Arial"/>
          <w:b/>
          <w:sz w:val="20"/>
          <w:szCs w:val="20"/>
        </w:rPr>
        <w:t>Figura 1.</w:t>
      </w:r>
      <w:r w:rsidRPr="0052430E">
        <w:rPr>
          <w:rFonts w:ascii="Arial" w:hAnsi="Arial" w:cs="Arial"/>
          <w:sz w:val="20"/>
          <w:szCs w:val="20"/>
        </w:rPr>
        <w:t xml:space="preserve"> Metodología para la priorización de las variables asociadas a la deserción.</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b/>
          <w:noProof/>
          <w:sz w:val="22"/>
          <w:szCs w:val="22"/>
          <w:lang w:val="es-CO" w:eastAsia="es-CO"/>
        </w:rPr>
        <w:drawing>
          <wp:inline distT="0" distB="0" distL="0" distR="0" wp14:anchorId="66A86C38" wp14:editId="664C9CDF">
            <wp:extent cx="2941983" cy="2202511"/>
            <wp:effectExtent l="0" t="0" r="0" b="0"/>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F3759" w:rsidRPr="00AA3B36" w:rsidRDefault="00EF3759" w:rsidP="006C424B">
      <w:pPr>
        <w:jc w:val="both"/>
        <w:rPr>
          <w:rFonts w:ascii="Arial" w:hAnsi="Arial" w:cs="Arial"/>
          <w:sz w:val="20"/>
          <w:szCs w:val="20"/>
        </w:rPr>
      </w:pPr>
    </w:p>
    <w:p w:rsidR="006C424B" w:rsidRPr="0052430E" w:rsidRDefault="00DD5F24" w:rsidP="006C424B">
      <w:pPr>
        <w:jc w:val="both"/>
        <w:rPr>
          <w:rFonts w:ascii="Arial" w:hAnsi="Arial" w:cs="Arial"/>
          <w:sz w:val="22"/>
          <w:szCs w:val="22"/>
        </w:rPr>
      </w:pPr>
      <w:r>
        <w:rPr>
          <w:rFonts w:ascii="Arial" w:hAnsi="Arial" w:cs="Arial"/>
          <w:sz w:val="22"/>
          <w:szCs w:val="22"/>
        </w:rPr>
        <w:t xml:space="preserve">Cómo se indicó anteriormente, </w:t>
      </w:r>
      <w:r w:rsidR="006C424B" w:rsidRPr="0052430E">
        <w:rPr>
          <w:rFonts w:ascii="Arial" w:hAnsi="Arial" w:cs="Arial"/>
          <w:sz w:val="22"/>
          <w:szCs w:val="22"/>
        </w:rPr>
        <w:t xml:space="preserve">el enfoque se basa en una revisión de la literatura a partir de las diferentes definiciones de deserción propuestas por autores como </w:t>
      </w:r>
      <w:r w:rsidR="006C424B" w:rsidRPr="0052430E">
        <w:rPr>
          <w:rFonts w:ascii="Arial" w:hAnsi="Arial" w:cs="Arial"/>
          <w:bCs/>
          <w:sz w:val="22"/>
          <w:szCs w:val="22"/>
        </w:rPr>
        <w:t xml:space="preserve">Himmel (2002) </w:t>
      </w:r>
      <w:r w:rsidR="006C424B" w:rsidRPr="0052430E">
        <w:rPr>
          <w:rFonts w:ascii="Arial" w:hAnsi="Arial" w:cs="Arial"/>
          <w:bCs/>
          <w:sz w:val="22"/>
          <w:szCs w:val="22"/>
          <w:lang w:eastAsia="es-MX"/>
        </w:rPr>
        <w:t xml:space="preserve">o sugeridas a  </w:t>
      </w:r>
      <w:r w:rsidR="006C424B" w:rsidRPr="0052430E">
        <w:rPr>
          <w:rFonts w:ascii="Arial" w:hAnsi="Arial" w:cs="Arial"/>
          <w:sz w:val="22"/>
          <w:szCs w:val="22"/>
        </w:rPr>
        <w:t xml:space="preserve">partir de otros autores como es el caso de Guzmán (2009), </w:t>
      </w:r>
      <w:r w:rsidR="006C424B" w:rsidRPr="0052430E">
        <w:rPr>
          <w:rFonts w:ascii="Arial" w:hAnsi="Arial" w:cs="Arial"/>
          <w:bCs/>
          <w:sz w:val="22"/>
          <w:szCs w:val="22"/>
          <w:lang w:eastAsia="es-CO"/>
        </w:rPr>
        <w:t xml:space="preserve">Montes et al., (2010) y </w:t>
      </w:r>
      <w:r w:rsidR="006C424B" w:rsidRPr="0052430E">
        <w:rPr>
          <w:rFonts w:ascii="Arial" w:hAnsi="Arial" w:cs="Arial"/>
          <w:bCs/>
          <w:sz w:val="22"/>
          <w:szCs w:val="22"/>
        </w:rPr>
        <w:t xml:space="preserve">Osorio et al. , (2011).  Definiciones que se </w:t>
      </w:r>
      <w:r w:rsidR="00FC53F7">
        <w:rPr>
          <w:rFonts w:ascii="Arial" w:hAnsi="Arial" w:cs="Arial"/>
          <w:bCs/>
          <w:sz w:val="22"/>
          <w:szCs w:val="22"/>
        </w:rPr>
        <w:t>toman</w:t>
      </w:r>
      <w:r w:rsidR="006C424B" w:rsidRPr="0052430E">
        <w:rPr>
          <w:rFonts w:ascii="Arial" w:hAnsi="Arial" w:cs="Arial"/>
          <w:bCs/>
          <w:sz w:val="22"/>
          <w:szCs w:val="22"/>
        </w:rPr>
        <w:t xml:space="preserve"> en las propuestas hechas por </w:t>
      </w:r>
      <w:r w:rsidR="006C424B" w:rsidRPr="0052430E">
        <w:rPr>
          <w:rFonts w:ascii="Arial" w:hAnsi="Arial" w:cs="Arial"/>
          <w:sz w:val="22"/>
          <w:szCs w:val="22"/>
        </w:rPr>
        <w:t>autor</w:t>
      </w:r>
      <w:r w:rsidR="00FC53F7">
        <w:rPr>
          <w:rFonts w:ascii="Arial" w:hAnsi="Arial" w:cs="Arial"/>
          <w:sz w:val="22"/>
          <w:szCs w:val="22"/>
        </w:rPr>
        <w:t xml:space="preserve">es como: Tinto, </w:t>
      </w:r>
      <w:proofErr w:type="spellStart"/>
      <w:r w:rsidR="00FC53F7">
        <w:rPr>
          <w:rFonts w:ascii="Arial" w:hAnsi="Arial" w:cs="Arial"/>
          <w:sz w:val="22"/>
          <w:szCs w:val="22"/>
        </w:rPr>
        <w:t>Spady</w:t>
      </w:r>
      <w:proofErr w:type="spellEnd"/>
      <w:r w:rsidR="00FC53F7">
        <w:rPr>
          <w:rFonts w:ascii="Arial" w:hAnsi="Arial" w:cs="Arial"/>
          <w:sz w:val="22"/>
          <w:szCs w:val="22"/>
        </w:rPr>
        <w:t xml:space="preserve"> y Ortega, ver Figura 1.</w:t>
      </w:r>
    </w:p>
    <w:p w:rsidR="006C424B" w:rsidRPr="0052430E" w:rsidRDefault="006C424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 xml:space="preserve">En cuanto a las variables  asociadas a los factores de la deserción y su  clasificación, la metodología tiene en cuenta las variables empleadas en investigaciones relacionadas con el análisis o la aplicación de modelos de deserción, realizadas por autores como </w:t>
      </w:r>
      <w:r w:rsidRPr="0052430E">
        <w:rPr>
          <w:rFonts w:ascii="Arial" w:hAnsi="Arial" w:cs="Arial"/>
          <w:iCs/>
          <w:sz w:val="22"/>
          <w:szCs w:val="22"/>
        </w:rPr>
        <w:lastRenderedPageBreak/>
        <w:t>Donoso</w:t>
      </w:r>
      <w:r w:rsidRPr="0052430E">
        <w:rPr>
          <w:rFonts w:ascii="Arial" w:hAnsi="Arial" w:cs="Arial"/>
          <w:sz w:val="22"/>
          <w:szCs w:val="22"/>
        </w:rPr>
        <w:t xml:space="preserve"> et al., (2007), Osorio et al., (2012), al igual que Díaz (2008), y la revisión de literatura  llevada a cabo por De </w:t>
      </w:r>
      <w:proofErr w:type="spellStart"/>
      <w:r w:rsidRPr="0052430E">
        <w:rPr>
          <w:rFonts w:ascii="Arial" w:hAnsi="Arial" w:cs="Arial"/>
          <w:sz w:val="22"/>
          <w:szCs w:val="22"/>
        </w:rPr>
        <w:t>Witte</w:t>
      </w:r>
      <w:proofErr w:type="spellEnd"/>
      <w:r w:rsidRPr="0052430E">
        <w:rPr>
          <w:rFonts w:ascii="Arial" w:hAnsi="Arial" w:cs="Arial"/>
          <w:sz w:val="22"/>
          <w:szCs w:val="22"/>
        </w:rPr>
        <w:t xml:space="preserve"> (2013), quien presenta una clasificación de las variables de deserción de acuerdo con factores como: el estudiante, la familia, la institución y la comunidad resaltando los autores que han contribuido en cada uno de éstos. Finalmente, para la priorización de variables se utiliza el Principio de Pareto.</w:t>
      </w:r>
    </w:p>
    <w:p w:rsidR="00D91D8B" w:rsidRPr="0052430E" w:rsidRDefault="00D91D8B" w:rsidP="00D91D8B">
      <w:pPr>
        <w:jc w:val="both"/>
        <w:rPr>
          <w:rFonts w:ascii="Arial" w:hAnsi="Arial" w:cs="Arial"/>
          <w:b/>
          <w:sz w:val="22"/>
          <w:szCs w:val="22"/>
        </w:rPr>
      </w:pPr>
    </w:p>
    <w:p w:rsidR="00D91D8B" w:rsidRPr="0052430E" w:rsidRDefault="00D91D8B" w:rsidP="00D91D8B">
      <w:pPr>
        <w:jc w:val="both"/>
        <w:rPr>
          <w:rFonts w:ascii="Arial" w:hAnsi="Arial" w:cs="Arial"/>
          <w:b/>
          <w:sz w:val="22"/>
          <w:szCs w:val="22"/>
        </w:rPr>
      </w:pPr>
      <w:r w:rsidRPr="0052430E">
        <w:rPr>
          <w:rFonts w:ascii="Arial" w:hAnsi="Arial" w:cs="Arial"/>
          <w:b/>
          <w:sz w:val="22"/>
          <w:szCs w:val="22"/>
        </w:rPr>
        <w:t>3.1 Clasificación de factores y variables.</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A continuación se presenta la clasificación de la literatura para cada una de las variables que constituyen los factores asociados a la deserción: individual, académico, institucional y socioeconómico.</w:t>
      </w:r>
    </w:p>
    <w:p w:rsidR="00D91D8B" w:rsidRPr="00AA3B36" w:rsidRDefault="00D91D8B" w:rsidP="00D91D8B">
      <w:pPr>
        <w:jc w:val="both"/>
        <w:rPr>
          <w:rFonts w:ascii="Arial" w:hAnsi="Arial" w:cs="Arial"/>
          <w:sz w:val="20"/>
          <w:szCs w:val="20"/>
        </w:rPr>
      </w:pPr>
    </w:p>
    <w:p w:rsidR="001C25A7" w:rsidRPr="0052430E" w:rsidRDefault="001C25A7" w:rsidP="001C25A7">
      <w:pPr>
        <w:jc w:val="both"/>
        <w:rPr>
          <w:rFonts w:ascii="Arial" w:hAnsi="Arial" w:cs="Arial"/>
          <w:sz w:val="20"/>
          <w:szCs w:val="20"/>
        </w:rPr>
      </w:pPr>
      <w:r w:rsidRPr="0052430E">
        <w:rPr>
          <w:rFonts w:ascii="Arial" w:hAnsi="Arial" w:cs="Arial"/>
          <w:b/>
          <w:sz w:val="20"/>
          <w:szCs w:val="20"/>
        </w:rPr>
        <w:t>Tabla 2.</w:t>
      </w:r>
      <w:r w:rsidRPr="0052430E">
        <w:rPr>
          <w:rFonts w:ascii="Arial" w:hAnsi="Arial" w:cs="Arial"/>
          <w:sz w:val="20"/>
          <w:szCs w:val="20"/>
        </w:rPr>
        <w:t xml:space="preserve"> Relación de variables del factor individual y autores.</w:t>
      </w:r>
    </w:p>
    <w:p w:rsidR="002008B9" w:rsidRPr="00AA3B36" w:rsidRDefault="002008B9" w:rsidP="00D91D8B">
      <w:pPr>
        <w:jc w:val="both"/>
        <w:rPr>
          <w:rFonts w:ascii="Arial" w:hAnsi="Arial" w:cs="Arial"/>
          <w:sz w:val="20"/>
          <w:szCs w:val="20"/>
        </w:rPr>
      </w:pPr>
    </w:p>
    <w:tbl>
      <w:tblPr>
        <w:tblW w:w="4824"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
        <w:gridCol w:w="3354"/>
      </w:tblGrid>
      <w:tr w:rsidR="0052430E" w:rsidRPr="0052430E" w:rsidTr="00B65EBE">
        <w:trPr>
          <w:trHeight w:val="283"/>
        </w:trPr>
        <w:tc>
          <w:tcPr>
            <w:tcW w:w="1141" w:type="pct"/>
            <w:shd w:val="clear" w:color="auto" w:fill="auto"/>
            <w:noWrap/>
            <w:vAlign w:val="center"/>
            <w:hideMark/>
          </w:tcPr>
          <w:p w:rsidR="00B65EBE" w:rsidRPr="0052430E" w:rsidRDefault="00B65EBE" w:rsidP="00080892">
            <w:pPr>
              <w:jc w:val="center"/>
              <w:rPr>
                <w:rFonts w:asciiTheme="minorHAnsi" w:hAnsiTheme="minorHAnsi" w:cstheme="minorHAnsi"/>
                <w:b/>
                <w:sz w:val="16"/>
                <w:szCs w:val="22"/>
                <w:lang w:eastAsia="es-MX"/>
              </w:rPr>
            </w:pPr>
            <w:r w:rsidRPr="0052430E">
              <w:rPr>
                <w:rFonts w:asciiTheme="minorHAnsi" w:hAnsiTheme="minorHAnsi" w:cstheme="minorHAnsi"/>
                <w:b/>
                <w:sz w:val="16"/>
                <w:szCs w:val="22"/>
                <w:lang w:eastAsia="es-MX"/>
              </w:rPr>
              <w:t>Variable</w:t>
            </w:r>
          </w:p>
        </w:tc>
        <w:tc>
          <w:tcPr>
            <w:tcW w:w="3859" w:type="pct"/>
            <w:shd w:val="clear" w:color="auto" w:fill="auto"/>
            <w:noWrap/>
            <w:vAlign w:val="center"/>
            <w:hideMark/>
          </w:tcPr>
          <w:p w:rsidR="00B65EBE" w:rsidRPr="0052430E" w:rsidRDefault="00B65EBE" w:rsidP="00080892">
            <w:pPr>
              <w:jc w:val="center"/>
              <w:rPr>
                <w:rFonts w:asciiTheme="minorHAnsi" w:hAnsiTheme="minorHAnsi" w:cstheme="minorHAnsi"/>
                <w:b/>
                <w:sz w:val="16"/>
                <w:szCs w:val="22"/>
                <w:lang w:eastAsia="es-MX"/>
              </w:rPr>
            </w:pPr>
            <w:r w:rsidRPr="0052430E">
              <w:rPr>
                <w:rFonts w:asciiTheme="minorHAnsi" w:hAnsiTheme="minorHAnsi" w:cstheme="minorHAnsi"/>
                <w:b/>
                <w:sz w:val="16"/>
                <w:szCs w:val="22"/>
                <w:lang w:eastAsia="es-MX"/>
              </w:rPr>
              <w:t>Factor Individual</w:t>
            </w:r>
          </w:p>
        </w:tc>
      </w:tr>
      <w:tr w:rsidR="0052430E" w:rsidRPr="0052430E" w:rsidTr="00B65EBE">
        <w:trPr>
          <w:trHeight w:val="531"/>
        </w:trPr>
        <w:tc>
          <w:tcPr>
            <w:tcW w:w="1141" w:type="pct"/>
            <w:shd w:val="clear" w:color="auto" w:fill="auto"/>
            <w:noWrap/>
            <w:vAlign w:val="center"/>
            <w:hideMark/>
          </w:tcPr>
          <w:p w:rsidR="00B65EBE" w:rsidRPr="0052430E" w:rsidRDefault="00B65EBE" w:rsidP="00080892">
            <w:pPr>
              <w:rPr>
                <w:rFonts w:asciiTheme="minorHAnsi" w:hAnsiTheme="minorHAnsi" w:cstheme="minorHAnsi"/>
                <w:sz w:val="16"/>
                <w:szCs w:val="22"/>
                <w:lang w:eastAsia="es-MX"/>
              </w:rPr>
            </w:pPr>
          </w:p>
          <w:p w:rsidR="00B65EBE" w:rsidRPr="0052430E" w:rsidRDefault="00B65EBE" w:rsidP="00080892">
            <w:pPr>
              <w:rPr>
                <w:rFonts w:asciiTheme="minorHAnsi" w:hAnsiTheme="minorHAnsi" w:cstheme="minorHAnsi"/>
                <w:sz w:val="16"/>
                <w:szCs w:val="22"/>
                <w:lang w:eastAsia="es-MX"/>
              </w:rPr>
            </w:pPr>
            <w:r w:rsidRPr="0052430E">
              <w:rPr>
                <w:rFonts w:asciiTheme="minorHAnsi" w:hAnsiTheme="minorHAnsi" w:cstheme="minorHAnsi"/>
                <w:sz w:val="16"/>
                <w:szCs w:val="22"/>
                <w:lang w:eastAsia="es-MX"/>
              </w:rPr>
              <w:t>EDAD</w:t>
            </w:r>
          </w:p>
        </w:tc>
        <w:tc>
          <w:tcPr>
            <w:tcW w:w="3859" w:type="pct"/>
            <w:shd w:val="clear" w:color="auto" w:fill="auto"/>
            <w:noWrap/>
            <w:vAlign w:val="center"/>
            <w:hideMark/>
          </w:tcPr>
          <w:p w:rsidR="00F319AF" w:rsidRDefault="00F319AF" w:rsidP="00080892">
            <w:pPr>
              <w:jc w:val="both"/>
              <w:rPr>
                <w:rFonts w:asciiTheme="minorHAnsi" w:hAnsiTheme="minorHAnsi" w:cstheme="minorHAnsi"/>
                <w:sz w:val="16"/>
                <w:szCs w:val="22"/>
              </w:rPr>
            </w:pPr>
          </w:p>
          <w:p w:rsidR="00B65EBE" w:rsidRPr="0052430E" w:rsidRDefault="00B65EBE" w:rsidP="00080892">
            <w:pPr>
              <w:jc w:val="both"/>
              <w:rPr>
                <w:rFonts w:asciiTheme="minorHAnsi" w:hAnsiTheme="minorHAnsi" w:cstheme="minorHAnsi"/>
                <w:sz w:val="16"/>
                <w:szCs w:val="22"/>
                <w:lang w:eastAsia="es-MX"/>
              </w:rPr>
            </w:pPr>
            <w:r w:rsidRPr="0052430E">
              <w:rPr>
                <w:rFonts w:asciiTheme="minorHAnsi" w:hAnsiTheme="minorHAnsi" w:cstheme="minorHAnsi"/>
                <w:sz w:val="16"/>
                <w:szCs w:val="22"/>
              </w:rPr>
              <w:t xml:space="preserve">Tinto (1975), </w:t>
            </w:r>
            <w:proofErr w:type="spellStart"/>
            <w:r w:rsidRPr="0052430E">
              <w:rPr>
                <w:rFonts w:asciiTheme="minorHAnsi" w:hAnsiTheme="minorHAnsi" w:cstheme="minorHAnsi"/>
                <w:sz w:val="16"/>
                <w:szCs w:val="22"/>
              </w:rPr>
              <w:t>Bean</w:t>
            </w:r>
            <w:proofErr w:type="spellEnd"/>
            <w:r w:rsidRPr="0052430E">
              <w:rPr>
                <w:rFonts w:asciiTheme="minorHAnsi" w:hAnsiTheme="minorHAnsi" w:cstheme="minorHAnsi"/>
                <w:sz w:val="16"/>
                <w:szCs w:val="22"/>
              </w:rPr>
              <w:t xml:space="preserve"> (1980), </w:t>
            </w:r>
            <w:proofErr w:type="spellStart"/>
            <w:r w:rsidRPr="0052430E">
              <w:rPr>
                <w:rFonts w:asciiTheme="minorHAnsi" w:hAnsiTheme="minorHAnsi" w:cstheme="minorHAnsi"/>
                <w:sz w:val="16"/>
                <w:szCs w:val="22"/>
                <w:lang w:eastAsia="es-MX"/>
              </w:rPr>
              <w:t>Pascarella</w:t>
            </w:r>
            <w:proofErr w:type="spellEnd"/>
            <w:r w:rsidRPr="0052430E">
              <w:rPr>
                <w:rFonts w:asciiTheme="minorHAnsi" w:hAnsiTheme="minorHAnsi" w:cstheme="minorHAnsi"/>
                <w:sz w:val="16"/>
                <w:szCs w:val="22"/>
                <w:lang w:eastAsia="es-MX"/>
              </w:rPr>
              <w:t xml:space="preserve"> y </w:t>
            </w:r>
            <w:proofErr w:type="spellStart"/>
            <w:r w:rsidRPr="0052430E">
              <w:rPr>
                <w:rFonts w:asciiTheme="minorHAnsi" w:hAnsiTheme="minorHAnsi" w:cstheme="minorHAnsi"/>
                <w:sz w:val="16"/>
                <w:szCs w:val="22"/>
                <w:lang w:eastAsia="es-MX"/>
              </w:rPr>
              <w:t>Terenzini</w:t>
            </w:r>
            <w:proofErr w:type="spellEnd"/>
            <w:r w:rsidRPr="0052430E">
              <w:rPr>
                <w:rFonts w:asciiTheme="minorHAnsi" w:hAnsiTheme="minorHAnsi" w:cstheme="minorHAnsi"/>
                <w:sz w:val="16"/>
                <w:szCs w:val="22"/>
                <w:lang w:eastAsia="es-MX"/>
              </w:rPr>
              <w:t xml:space="preserve"> (1980), </w:t>
            </w:r>
            <w:proofErr w:type="spellStart"/>
            <w:r w:rsidRPr="0052430E">
              <w:rPr>
                <w:rFonts w:asciiTheme="minorHAnsi" w:hAnsiTheme="minorHAnsi" w:cstheme="minorHAnsi"/>
                <w:sz w:val="16"/>
                <w:szCs w:val="22"/>
                <w:lang w:eastAsia="es-MX"/>
              </w:rPr>
              <w:t>Pascarella</w:t>
            </w:r>
            <w:proofErr w:type="spellEnd"/>
            <w:r w:rsidRPr="0052430E">
              <w:rPr>
                <w:rFonts w:asciiTheme="minorHAnsi" w:hAnsiTheme="minorHAnsi" w:cstheme="minorHAnsi"/>
                <w:sz w:val="16"/>
                <w:szCs w:val="22"/>
                <w:lang w:eastAsia="es-MX"/>
              </w:rPr>
              <w:t xml:space="preserve"> (1985) (1991), ICFES (2002), </w:t>
            </w:r>
            <w:proofErr w:type="spellStart"/>
            <w:r w:rsidRPr="0052430E">
              <w:rPr>
                <w:rFonts w:asciiTheme="minorHAnsi" w:hAnsiTheme="minorHAnsi" w:cstheme="minorHAnsi"/>
                <w:sz w:val="16"/>
                <w:szCs w:val="22"/>
              </w:rPr>
              <w:t>Smeyers</w:t>
            </w:r>
            <w:proofErr w:type="spellEnd"/>
            <w:r w:rsidRPr="0052430E">
              <w:rPr>
                <w:rFonts w:asciiTheme="minorHAnsi" w:hAnsiTheme="minorHAnsi" w:cstheme="minorHAnsi"/>
                <w:sz w:val="16"/>
                <w:szCs w:val="22"/>
              </w:rPr>
              <w:t xml:space="preserve"> (2006), </w:t>
            </w:r>
            <w:r w:rsidRPr="0052430E">
              <w:rPr>
                <w:rFonts w:asciiTheme="minorHAnsi" w:hAnsiTheme="minorHAnsi" w:cstheme="minorHAnsi"/>
                <w:sz w:val="16"/>
                <w:szCs w:val="22"/>
                <w:lang w:eastAsia="es-MX"/>
              </w:rPr>
              <w:t xml:space="preserve">Pinto et al. (2007), Lopera (2008), De </w:t>
            </w:r>
            <w:proofErr w:type="spellStart"/>
            <w:r w:rsidRPr="0052430E">
              <w:rPr>
                <w:rFonts w:asciiTheme="minorHAnsi" w:hAnsiTheme="minorHAnsi" w:cstheme="minorHAnsi"/>
                <w:sz w:val="16"/>
                <w:szCs w:val="22"/>
                <w:lang w:eastAsia="es-MX"/>
              </w:rPr>
              <w:t>Witte</w:t>
            </w:r>
            <w:proofErr w:type="spellEnd"/>
            <w:r w:rsidRPr="0052430E">
              <w:rPr>
                <w:rFonts w:asciiTheme="minorHAnsi" w:hAnsiTheme="minorHAnsi" w:cstheme="minorHAnsi"/>
                <w:sz w:val="16"/>
                <w:szCs w:val="22"/>
                <w:lang w:eastAsia="es-MX"/>
              </w:rPr>
              <w:t xml:space="preserve"> Et al. (2013).</w:t>
            </w:r>
          </w:p>
        </w:tc>
      </w:tr>
      <w:tr w:rsidR="0052430E" w:rsidRPr="0052430E" w:rsidTr="00B65EBE">
        <w:trPr>
          <w:trHeight w:val="300"/>
        </w:trPr>
        <w:tc>
          <w:tcPr>
            <w:tcW w:w="1141" w:type="pct"/>
            <w:shd w:val="clear" w:color="auto" w:fill="auto"/>
            <w:noWrap/>
            <w:vAlign w:val="center"/>
            <w:hideMark/>
          </w:tcPr>
          <w:p w:rsidR="00B65EBE" w:rsidRPr="0052430E" w:rsidRDefault="00B65EBE" w:rsidP="00080892">
            <w:pPr>
              <w:rPr>
                <w:rFonts w:asciiTheme="minorHAnsi" w:hAnsiTheme="minorHAnsi" w:cstheme="minorHAnsi"/>
                <w:sz w:val="16"/>
                <w:szCs w:val="22"/>
                <w:lang w:eastAsia="es-MX"/>
              </w:rPr>
            </w:pPr>
            <w:r w:rsidRPr="0052430E">
              <w:rPr>
                <w:rFonts w:asciiTheme="minorHAnsi" w:hAnsiTheme="minorHAnsi" w:cstheme="minorHAnsi"/>
                <w:sz w:val="16"/>
                <w:szCs w:val="22"/>
                <w:lang w:eastAsia="es-MX"/>
              </w:rPr>
              <w:t>GÉNERO</w:t>
            </w:r>
          </w:p>
        </w:tc>
        <w:tc>
          <w:tcPr>
            <w:tcW w:w="3859" w:type="pct"/>
            <w:shd w:val="clear" w:color="auto" w:fill="auto"/>
            <w:noWrap/>
            <w:vAlign w:val="center"/>
            <w:hideMark/>
          </w:tcPr>
          <w:p w:rsidR="00F319AF" w:rsidRDefault="00F319AF" w:rsidP="00080892">
            <w:pPr>
              <w:jc w:val="both"/>
              <w:rPr>
                <w:rFonts w:asciiTheme="minorHAnsi" w:hAnsiTheme="minorHAnsi" w:cstheme="minorHAnsi"/>
                <w:sz w:val="16"/>
                <w:szCs w:val="22"/>
              </w:rPr>
            </w:pPr>
          </w:p>
          <w:p w:rsidR="00B65EBE" w:rsidRPr="0052430E" w:rsidRDefault="00B65EBE" w:rsidP="00080892">
            <w:pPr>
              <w:jc w:val="both"/>
              <w:rPr>
                <w:rFonts w:asciiTheme="minorHAnsi" w:hAnsiTheme="minorHAnsi" w:cstheme="minorHAnsi"/>
                <w:sz w:val="16"/>
                <w:szCs w:val="22"/>
                <w:lang w:eastAsia="es-MX"/>
              </w:rPr>
            </w:pPr>
            <w:proofErr w:type="spellStart"/>
            <w:r w:rsidRPr="0052430E">
              <w:rPr>
                <w:rFonts w:asciiTheme="minorHAnsi" w:hAnsiTheme="minorHAnsi" w:cstheme="minorHAnsi"/>
                <w:sz w:val="16"/>
                <w:szCs w:val="22"/>
              </w:rPr>
              <w:t>Spady</w:t>
            </w:r>
            <w:proofErr w:type="spellEnd"/>
            <w:r w:rsidRPr="0052430E">
              <w:rPr>
                <w:rFonts w:asciiTheme="minorHAnsi" w:hAnsiTheme="minorHAnsi" w:cstheme="minorHAnsi"/>
                <w:sz w:val="16"/>
                <w:szCs w:val="22"/>
              </w:rPr>
              <w:t xml:space="preserve"> (1970), Tinto (1975), </w:t>
            </w:r>
            <w:proofErr w:type="spellStart"/>
            <w:r w:rsidRPr="0052430E">
              <w:rPr>
                <w:rFonts w:asciiTheme="minorHAnsi" w:hAnsiTheme="minorHAnsi" w:cstheme="minorHAnsi"/>
                <w:sz w:val="16"/>
                <w:szCs w:val="22"/>
              </w:rPr>
              <w:t>Bean</w:t>
            </w:r>
            <w:proofErr w:type="spellEnd"/>
            <w:r w:rsidRPr="0052430E">
              <w:rPr>
                <w:rFonts w:asciiTheme="minorHAnsi" w:hAnsiTheme="minorHAnsi" w:cstheme="minorHAnsi"/>
                <w:sz w:val="16"/>
                <w:szCs w:val="22"/>
              </w:rPr>
              <w:t xml:space="preserve"> (1980), </w:t>
            </w:r>
            <w:proofErr w:type="spellStart"/>
            <w:r w:rsidRPr="0052430E">
              <w:rPr>
                <w:rFonts w:asciiTheme="minorHAnsi" w:hAnsiTheme="minorHAnsi" w:cstheme="minorHAnsi"/>
                <w:sz w:val="16"/>
                <w:szCs w:val="22"/>
                <w:lang w:eastAsia="es-MX"/>
              </w:rPr>
              <w:t>Pascarella</w:t>
            </w:r>
            <w:proofErr w:type="spellEnd"/>
            <w:r w:rsidRPr="0052430E">
              <w:rPr>
                <w:rFonts w:asciiTheme="minorHAnsi" w:hAnsiTheme="minorHAnsi" w:cstheme="minorHAnsi"/>
                <w:sz w:val="16"/>
                <w:szCs w:val="22"/>
                <w:lang w:eastAsia="es-MX"/>
              </w:rPr>
              <w:t xml:space="preserve"> y </w:t>
            </w:r>
            <w:proofErr w:type="spellStart"/>
            <w:r w:rsidRPr="0052430E">
              <w:rPr>
                <w:rFonts w:asciiTheme="minorHAnsi" w:hAnsiTheme="minorHAnsi" w:cstheme="minorHAnsi"/>
                <w:sz w:val="16"/>
                <w:szCs w:val="22"/>
                <w:lang w:eastAsia="es-MX"/>
              </w:rPr>
              <w:t>Terenzini</w:t>
            </w:r>
            <w:proofErr w:type="spellEnd"/>
            <w:r w:rsidRPr="0052430E">
              <w:rPr>
                <w:rFonts w:asciiTheme="minorHAnsi" w:hAnsiTheme="minorHAnsi" w:cstheme="minorHAnsi"/>
                <w:sz w:val="16"/>
                <w:szCs w:val="22"/>
                <w:lang w:eastAsia="es-MX"/>
              </w:rPr>
              <w:t xml:space="preserve"> (1980), </w:t>
            </w:r>
            <w:proofErr w:type="spellStart"/>
            <w:r w:rsidRPr="0052430E">
              <w:rPr>
                <w:rFonts w:asciiTheme="minorHAnsi" w:hAnsiTheme="minorHAnsi" w:cstheme="minorHAnsi"/>
                <w:sz w:val="16"/>
                <w:szCs w:val="22"/>
              </w:rPr>
              <w:t>Bynum</w:t>
            </w:r>
            <w:proofErr w:type="spellEnd"/>
            <w:r w:rsidRPr="0052430E">
              <w:rPr>
                <w:rFonts w:asciiTheme="minorHAnsi" w:hAnsiTheme="minorHAnsi" w:cstheme="minorHAnsi"/>
                <w:sz w:val="16"/>
                <w:szCs w:val="22"/>
              </w:rPr>
              <w:t xml:space="preserve"> y Thompson (1983), </w:t>
            </w:r>
            <w:proofErr w:type="spellStart"/>
            <w:r w:rsidRPr="0052430E">
              <w:rPr>
                <w:rFonts w:asciiTheme="minorHAnsi" w:hAnsiTheme="minorHAnsi" w:cstheme="minorHAnsi"/>
                <w:sz w:val="16"/>
                <w:szCs w:val="22"/>
              </w:rPr>
              <w:t>Rumberger</w:t>
            </w:r>
            <w:proofErr w:type="spellEnd"/>
            <w:r w:rsidRPr="0052430E">
              <w:rPr>
                <w:rFonts w:asciiTheme="minorHAnsi" w:hAnsiTheme="minorHAnsi" w:cstheme="minorHAnsi"/>
                <w:sz w:val="16"/>
                <w:szCs w:val="22"/>
              </w:rPr>
              <w:t xml:space="preserve"> (1983), </w:t>
            </w:r>
            <w:proofErr w:type="spellStart"/>
            <w:r w:rsidRPr="0052430E">
              <w:rPr>
                <w:rFonts w:asciiTheme="minorHAnsi" w:hAnsiTheme="minorHAnsi" w:cstheme="minorHAnsi"/>
                <w:sz w:val="16"/>
                <w:szCs w:val="22"/>
                <w:lang w:eastAsia="es-MX"/>
              </w:rPr>
              <w:t>Pascarella</w:t>
            </w:r>
            <w:proofErr w:type="spellEnd"/>
            <w:r w:rsidRPr="0052430E">
              <w:rPr>
                <w:rFonts w:asciiTheme="minorHAnsi" w:hAnsiTheme="minorHAnsi" w:cstheme="minorHAnsi"/>
                <w:sz w:val="16"/>
                <w:szCs w:val="22"/>
                <w:lang w:eastAsia="es-MX"/>
              </w:rPr>
              <w:t xml:space="preserve"> (1985) (1991),  Paragua et al. </w:t>
            </w:r>
            <w:r w:rsidRPr="0052430E">
              <w:rPr>
                <w:rFonts w:asciiTheme="minorHAnsi" w:hAnsiTheme="minorHAnsi" w:cstheme="minorHAnsi"/>
                <w:sz w:val="16"/>
                <w:szCs w:val="22"/>
                <w:lang w:val="en-US" w:eastAsia="es-MX"/>
              </w:rPr>
              <w:t xml:space="preserve">(2000), </w:t>
            </w:r>
            <w:proofErr w:type="spellStart"/>
            <w:r w:rsidRPr="0052430E">
              <w:rPr>
                <w:rFonts w:asciiTheme="minorHAnsi" w:hAnsiTheme="minorHAnsi" w:cstheme="minorHAnsi"/>
                <w:sz w:val="16"/>
                <w:szCs w:val="22"/>
                <w:lang w:val="en-US" w:eastAsia="es-MX"/>
              </w:rPr>
              <w:t>Giovagnoli</w:t>
            </w:r>
            <w:proofErr w:type="spellEnd"/>
            <w:r w:rsidRPr="0052430E">
              <w:rPr>
                <w:rFonts w:asciiTheme="minorHAnsi" w:hAnsiTheme="minorHAnsi" w:cstheme="minorHAnsi"/>
                <w:sz w:val="16"/>
                <w:szCs w:val="22"/>
                <w:lang w:val="en-US" w:eastAsia="es-MX"/>
              </w:rPr>
              <w:t xml:space="preserve"> (2002), Business Council of Australia </w:t>
            </w:r>
            <w:r w:rsidRPr="0052430E">
              <w:rPr>
                <w:rFonts w:asciiTheme="minorHAnsi" w:hAnsiTheme="minorHAnsi" w:cstheme="minorHAnsi"/>
                <w:sz w:val="16"/>
                <w:szCs w:val="22"/>
                <w:lang w:val="en-US"/>
              </w:rPr>
              <w:t>(</w:t>
            </w:r>
            <w:proofErr w:type="spellStart"/>
            <w:r w:rsidRPr="0052430E">
              <w:rPr>
                <w:rFonts w:asciiTheme="minorHAnsi" w:hAnsiTheme="minorHAnsi" w:cstheme="minorHAnsi"/>
                <w:sz w:val="16"/>
                <w:szCs w:val="22"/>
                <w:lang w:val="en-US"/>
              </w:rPr>
              <w:t>2002b</w:t>
            </w:r>
            <w:proofErr w:type="spellEnd"/>
            <w:r w:rsidRPr="0052430E">
              <w:rPr>
                <w:rFonts w:asciiTheme="minorHAnsi" w:hAnsiTheme="minorHAnsi" w:cstheme="minorHAnsi"/>
                <w:sz w:val="16"/>
                <w:szCs w:val="22"/>
                <w:lang w:val="en-US"/>
              </w:rPr>
              <w:t xml:space="preserve">), </w:t>
            </w:r>
            <w:r w:rsidRPr="0052430E">
              <w:rPr>
                <w:rFonts w:asciiTheme="minorHAnsi" w:hAnsiTheme="minorHAnsi" w:cstheme="minorHAnsi"/>
                <w:sz w:val="16"/>
                <w:szCs w:val="22"/>
                <w:lang w:val="en-US" w:eastAsia="es-MX"/>
              </w:rPr>
              <w:t xml:space="preserve">ICFES (2002), </w:t>
            </w:r>
            <w:proofErr w:type="spellStart"/>
            <w:r w:rsidRPr="0052430E">
              <w:rPr>
                <w:rFonts w:asciiTheme="minorHAnsi" w:hAnsiTheme="minorHAnsi" w:cstheme="minorHAnsi"/>
                <w:sz w:val="16"/>
                <w:szCs w:val="22"/>
                <w:lang w:val="en-US" w:eastAsia="es-MX"/>
              </w:rPr>
              <w:t>Aina</w:t>
            </w:r>
            <w:proofErr w:type="spellEnd"/>
            <w:r w:rsidRPr="0052430E">
              <w:rPr>
                <w:rFonts w:asciiTheme="minorHAnsi" w:hAnsiTheme="minorHAnsi" w:cstheme="minorHAnsi"/>
                <w:sz w:val="16"/>
                <w:szCs w:val="22"/>
                <w:lang w:val="en-US" w:eastAsia="es-MX"/>
              </w:rPr>
              <w:t xml:space="preserve"> (2005), </w:t>
            </w:r>
            <w:r w:rsidRPr="0052430E">
              <w:rPr>
                <w:rFonts w:asciiTheme="minorHAnsi" w:hAnsiTheme="minorHAnsi" w:cstheme="minorHAnsi"/>
                <w:sz w:val="16"/>
                <w:szCs w:val="22"/>
                <w:lang w:val="en-US"/>
              </w:rPr>
              <w:t xml:space="preserve">Duchesne et al. </w:t>
            </w:r>
            <w:r w:rsidRPr="0052430E">
              <w:rPr>
                <w:rFonts w:asciiTheme="minorHAnsi" w:hAnsiTheme="minorHAnsi" w:cstheme="minorHAnsi"/>
                <w:sz w:val="16"/>
                <w:szCs w:val="22"/>
              </w:rPr>
              <w:t xml:space="preserve">(2005), </w:t>
            </w:r>
            <w:r w:rsidRPr="0052430E">
              <w:rPr>
                <w:rFonts w:asciiTheme="minorHAnsi" w:hAnsiTheme="minorHAnsi" w:cstheme="minorHAnsi"/>
                <w:sz w:val="16"/>
                <w:szCs w:val="22"/>
                <w:lang w:eastAsia="es-MX"/>
              </w:rPr>
              <w:t xml:space="preserve">CEDE (2006), </w:t>
            </w:r>
            <w:proofErr w:type="spellStart"/>
            <w:r w:rsidRPr="0052430E">
              <w:rPr>
                <w:rFonts w:asciiTheme="minorHAnsi" w:hAnsiTheme="minorHAnsi" w:cstheme="minorHAnsi"/>
                <w:sz w:val="16"/>
                <w:szCs w:val="22"/>
              </w:rPr>
              <w:t>Ou</w:t>
            </w:r>
            <w:proofErr w:type="spellEnd"/>
            <w:r w:rsidRPr="0052430E">
              <w:rPr>
                <w:rFonts w:asciiTheme="minorHAnsi" w:hAnsiTheme="minorHAnsi" w:cstheme="minorHAnsi"/>
                <w:sz w:val="16"/>
                <w:szCs w:val="22"/>
              </w:rPr>
              <w:t xml:space="preserve"> y Reynolds  (2006), </w:t>
            </w:r>
            <w:r w:rsidRPr="0052430E">
              <w:rPr>
                <w:rFonts w:asciiTheme="minorHAnsi" w:hAnsiTheme="minorHAnsi" w:cstheme="minorHAnsi"/>
                <w:sz w:val="16"/>
                <w:szCs w:val="22"/>
                <w:lang w:eastAsia="es-MX"/>
              </w:rPr>
              <w:t xml:space="preserve">Pinto et al. </w:t>
            </w:r>
            <w:r w:rsidRPr="0052430E">
              <w:rPr>
                <w:rFonts w:asciiTheme="minorHAnsi" w:hAnsiTheme="minorHAnsi" w:cstheme="minorHAnsi"/>
                <w:sz w:val="16"/>
                <w:szCs w:val="22"/>
                <w:lang w:val="en-US" w:eastAsia="es-MX"/>
              </w:rPr>
              <w:t xml:space="preserve">(2007), MEN </w:t>
            </w:r>
            <w:proofErr w:type="spellStart"/>
            <w:r w:rsidRPr="0052430E">
              <w:rPr>
                <w:rFonts w:asciiTheme="minorHAnsi" w:hAnsiTheme="minorHAnsi" w:cstheme="minorHAnsi"/>
                <w:sz w:val="16"/>
                <w:szCs w:val="22"/>
                <w:lang w:val="en-US" w:eastAsia="es-MX"/>
              </w:rPr>
              <w:t>Spadies</w:t>
            </w:r>
            <w:proofErr w:type="spellEnd"/>
            <w:r w:rsidRPr="0052430E">
              <w:rPr>
                <w:rFonts w:asciiTheme="minorHAnsi" w:hAnsiTheme="minorHAnsi" w:cstheme="minorHAnsi"/>
                <w:sz w:val="16"/>
                <w:szCs w:val="22"/>
                <w:lang w:val="en-US" w:eastAsia="es-MX"/>
              </w:rPr>
              <w:t xml:space="preserve"> (2008), De Witte Et al. </w:t>
            </w:r>
            <w:r w:rsidRPr="0052430E">
              <w:rPr>
                <w:rFonts w:asciiTheme="minorHAnsi" w:hAnsiTheme="minorHAnsi" w:cstheme="minorHAnsi"/>
                <w:sz w:val="16"/>
                <w:szCs w:val="22"/>
                <w:lang w:eastAsia="es-MX"/>
              </w:rPr>
              <w:t>(2013).</w:t>
            </w:r>
          </w:p>
        </w:tc>
      </w:tr>
      <w:tr w:rsidR="00B65EBE" w:rsidRPr="0052430E" w:rsidTr="00B65EBE">
        <w:trPr>
          <w:trHeight w:val="861"/>
        </w:trPr>
        <w:tc>
          <w:tcPr>
            <w:tcW w:w="1141" w:type="pct"/>
            <w:shd w:val="clear" w:color="auto" w:fill="auto"/>
            <w:noWrap/>
            <w:vAlign w:val="center"/>
            <w:hideMark/>
          </w:tcPr>
          <w:p w:rsidR="00B65EBE" w:rsidRPr="0052430E" w:rsidRDefault="00B65EBE" w:rsidP="00080892">
            <w:pPr>
              <w:rPr>
                <w:rFonts w:asciiTheme="minorHAnsi" w:hAnsiTheme="minorHAnsi" w:cstheme="minorHAnsi"/>
                <w:sz w:val="16"/>
                <w:szCs w:val="22"/>
                <w:lang w:eastAsia="es-MX"/>
              </w:rPr>
            </w:pPr>
            <w:r w:rsidRPr="0052430E">
              <w:rPr>
                <w:rFonts w:asciiTheme="minorHAnsi" w:hAnsiTheme="minorHAnsi" w:cstheme="minorHAnsi"/>
                <w:sz w:val="16"/>
                <w:szCs w:val="22"/>
                <w:lang w:eastAsia="es-MX"/>
              </w:rPr>
              <w:t>HABILIDAD ACADÉMICA</w:t>
            </w:r>
          </w:p>
        </w:tc>
        <w:tc>
          <w:tcPr>
            <w:tcW w:w="3859" w:type="pct"/>
            <w:shd w:val="clear" w:color="auto" w:fill="auto"/>
            <w:noWrap/>
            <w:vAlign w:val="center"/>
            <w:hideMark/>
          </w:tcPr>
          <w:p w:rsidR="00F319AF" w:rsidRDefault="00F319AF" w:rsidP="00080892">
            <w:pPr>
              <w:jc w:val="both"/>
              <w:rPr>
                <w:rFonts w:asciiTheme="minorHAnsi" w:hAnsiTheme="minorHAnsi" w:cstheme="minorHAnsi"/>
                <w:sz w:val="16"/>
                <w:szCs w:val="22"/>
                <w:lang w:val="en-US"/>
              </w:rPr>
            </w:pPr>
          </w:p>
          <w:p w:rsidR="00B65EBE" w:rsidRPr="0052430E" w:rsidRDefault="00B65EBE" w:rsidP="00080892">
            <w:pPr>
              <w:jc w:val="both"/>
              <w:rPr>
                <w:rFonts w:asciiTheme="minorHAnsi" w:hAnsiTheme="minorHAnsi" w:cstheme="minorHAnsi"/>
                <w:sz w:val="16"/>
                <w:szCs w:val="22"/>
                <w:lang w:val="en-US" w:eastAsia="es-MX"/>
              </w:rPr>
            </w:pPr>
            <w:proofErr w:type="spellStart"/>
            <w:r w:rsidRPr="0052430E">
              <w:rPr>
                <w:rFonts w:asciiTheme="minorHAnsi" w:hAnsiTheme="minorHAnsi" w:cstheme="minorHAnsi"/>
                <w:sz w:val="16"/>
                <w:szCs w:val="22"/>
                <w:lang w:val="en-US"/>
              </w:rPr>
              <w:t>Rumberger</w:t>
            </w:r>
            <w:proofErr w:type="spellEnd"/>
            <w:r w:rsidRPr="0052430E">
              <w:rPr>
                <w:rFonts w:asciiTheme="minorHAnsi" w:hAnsiTheme="minorHAnsi" w:cstheme="minorHAnsi"/>
                <w:sz w:val="16"/>
                <w:szCs w:val="22"/>
                <w:lang w:val="en-US"/>
              </w:rPr>
              <w:t xml:space="preserve"> (1983), </w:t>
            </w:r>
            <w:proofErr w:type="spellStart"/>
            <w:r w:rsidRPr="0052430E">
              <w:rPr>
                <w:rFonts w:asciiTheme="minorHAnsi" w:hAnsiTheme="minorHAnsi" w:cstheme="minorHAnsi"/>
                <w:sz w:val="16"/>
                <w:szCs w:val="22"/>
                <w:lang w:val="en-US"/>
              </w:rPr>
              <w:t>Ekstrom</w:t>
            </w:r>
            <w:proofErr w:type="spellEnd"/>
            <w:r w:rsidRPr="0052430E">
              <w:rPr>
                <w:rFonts w:asciiTheme="minorHAnsi" w:hAnsiTheme="minorHAnsi" w:cstheme="minorHAnsi"/>
                <w:sz w:val="16"/>
                <w:szCs w:val="22"/>
                <w:lang w:val="en-US"/>
              </w:rPr>
              <w:t xml:space="preserve"> et al. (1986), Lamb y </w:t>
            </w:r>
            <w:proofErr w:type="spellStart"/>
            <w:r w:rsidRPr="0052430E">
              <w:rPr>
                <w:rFonts w:asciiTheme="minorHAnsi" w:hAnsiTheme="minorHAnsi" w:cstheme="minorHAnsi"/>
                <w:sz w:val="16"/>
                <w:szCs w:val="22"/>
                <w:lang w:val="en-US"/>
              </w:rPr>
              <w:t>Rumberger</w:t>
            </w:r>
            <w:proofErr w:type="spellEnd"/>
            <w:r w:rsidRPr="0052430E">
              <w:rPr>
                <w:rFonts w:asciiTheme="minorHAnsi" w:hAnsiTheme="minorHAnsi" w:cstheme="minorHAnsi"/>
                <w:sz w:val="16"/>
                <w:szCs w:val="22"/>
                <w:lang w:val="en-US"/>
              </w:rPr>
              <w:t xml:space="preserve"> (1998), Herbert y Reis (1999), Ball y Lamb (2001), </w:t>
            </w:r>
            <w:proofErr w:type="spellStart"/>
            <w:r w:rsidRPr="0052430E">
              <w:rPr>
                <w:rFonts w:asciiTheme="minorHAnsi" w:hAnsiTheme="minorHAnsi" w:cstheme="minorHAnsi"/>
                <w:sz w:val="16"/>
                <w:szCs w:val="22"/>
                <w:lang w:val="en-US"/>
              </w:rPr>
              <w:t>Teese</w:t>
            </w:r>
            <w:proofErr w:type="spellEnd"/>
            <w:r w:rsidRPr="0052430E">
              <w:rPr>
                <w:rFonts w:asciiTheme="minorHAnsi" w:hAnsiTheme="minorHAnsi" w:cstheme="minorHAnsi"/>
                <w:sz w:val="16"/>
                <w:szCs w:val="22"/>
                <w:lang w:val="en-US"/>
              </w:rPr>
              <w:t xml:space="preserve"> </w:t>
            </w:r>
            <w:proofErr w:type="gramStart"/>
            <w:r w:rsidRPr="0052430E">
              <w:rPr>
                <w:rFonts w:asciiTheme="minorHAnsi" w:hAnsiTheme="minorHAnsi" w:cstheme="minorHAnsi"/>
                <w:sz w:val="16"/>
                <w:szCs w:val="22"/>
                <w:lang w:val="en-US"/>
              </w:rPr>
              <w:t xml:space="preserve">y  </w:t>
            </w:r>
            <w:proofErr w:type="spellStart"/>
            <w:r w:rsidRPr="0052430E">
              <w:rPr>
                <w:rFonts w:asciiTheme="minorHAnsi" w:hAnsiTheme="minorHAnsi" w:cstheme="minorHAnsi"/>
                <w:sz w:val="16"/>
                <w:szCs w:val="22"/>
                <w:lang w:val="en-US"/>
              </w:rPr>
              <w:t>Walstab</w:t>
            </w:r>
            <w:proofErr w:type="spellEnd"/>
            <w:proofErr w:type="gramEnd"/>
            <w:r w:rsidRPr="0052430E">
              <w:rPr>
                <w:rFonts w:asciiTheme="minorHAnsi" w:hAnsiTheme="minorHAnsi" w:cstheme="minorHAnsi"/>
                <w:sz w:val="16"/>
                <w:szCs w:val="22"/>
                <w:lang w:val="en-US"/>
              </w:rPr>
              <w:t xml:space="preserve"> (2002), </w:t>
            </w:r>
            <w:proofErr w:type="spellStart"/>
            <w:r w:rsidRPr="0052430E">
              <w:rPr>
                <w:rFonts w:asciiTheme="minorHAnsi" w:hAnsiTheme="minorHAnsi" w:cstheme="minorHAnsi"/>
                <w:sz w:val="16"/>
                <w:szCs w:val="22"/>
                <w:lang w:val="en-US"/>
              </w:rPr>
              <w:t>Entwisle</w:t>
            </w:r>
            <w:proofErr w:type="spellEnd"/>
            <w:r w:rsidRPr="0052430E">
              <w:rPr>
                <w:rFonts w:asciiTheme="minorHAnsi" w:hAnsiTheme="minorHAnsi" w:cstheme="minorHAnsi"/>
                <w:sz w:val="16"/>
                <w:szCs w:val="22"/>
                <w:lang w:val="en-US"/>
              </w:rPr>
              <w:t xml:space="preserve"> et al.  (2004), </w:t>
            </w:r>
            <w:proofErr w:type="spellStart"/>
            <w:r w:rsidRPr="0052430E">
              <w:rPr>
                <w:rFonts w:asciiTheme="minorHAnsi" w:hAnsiTheme="minorHAnsi" w:cstheme="minorHAnsi"/>
                <w:sz w:val="16"/>
                <w:szCs w:val="22"/>
                <w:lang w:val="en-US"/>
              </w:rPr>
              <w:t>Allensworth</w:t>
            </w:r>
            <w:proofErr w:type="spellEnd"/>
            <w:r w:rsidRPr="0052430E">
              <w:rPr>
                <w:rFonts w:asciiTheme="minorHAnsi" w:hAnsiTheme="minorHAnsi" w:cstheme="minorHAnsi"/>
                <w:sz w:val="16"/>
                <w:szCs w:val="22"/>
                <w:lang w:val="en-US"/>
              </w:rPr>
              <w:t xml:space="preserve"> (2004) (2005),   </w:t>
            </w:r>
            <w:proofErr w:type="spellStart"/>
            <w:r w:rsidRPr="0052430E">
              <w:rPr>
                <w:rFonts w:asciiTheme="minorHAnsi" w:hAnsiTheme="minorHAnsi" w:cstheme="minorHAnsi"/>
                <w:sz w:val="16"/>
                <w:szCs w:val="22"/>
                <w:lang w:val="en-US"/>
              </w:rPr>
              <w:t>Vizcain</w:t>
            </w:r>
            <w:proofErr w:type="spellEnd"/>
            <w:r w:rsidRPr="0052430E">
              <w:rPr>
                <w:rFonts w:asciiTheme="minorHAnsi" w:hAnsiTheme="minorHAnsi" w:cstheme="minorHAnsi"/>
                <w:sz w:val="16"/>
                <w:szCs w:val="22"/>
                <w:lang w:val="en-US"/>
              </w:rPr>
              <w:t xml:space="preserve"> (2005), </w:t>
            </w:r>
            <w:proofErr w:type="spellStart"/>
            <w:r w:rsidRPr="0052430E">
              <w:rPr>
                <w:rFonts w:asciiTheme="minorHAnsi" w:hAnsiTheme="minorHAnsi" w:cstheme="minorHAnsi"/>
                <w:sz w:val="16"/>
                <w:szCs w:val="22"/>
                <w:lang w:val="en-US"/>
              </w:rPr>
              <w:t>Dustmann</w:t>
            </w:r>
            <w:proofErr w:type="spellEnd"/>
            <w:r w:rsidRPr="0052430E">
              <w:rPr>
                <w:rFonts w:asciiTheme="minorHAnsi" w:hAnsiTheme="minorHAnsi" w:cstheme="minorHAnsi"/>
                <w:sz w:val="16"/>
                <w:szCs w:val="22"/>
                <w:lang w:val="en-US"/>
              </w:rPr>
              <w:t xml:space="preserve"> y </w:t>
            </w:r>
            <w:proofErr w:type="spellStart"/>
            <w:r w:rsidRPr="0052430E">
              <w:rPr>
                <w:rFonts w:asciiTheme="minorHAnsi" w:hAnsiTheme="minorHAnsi" w:cstheme="minorHAnsi"/>
                <w:sz w:val="16"/>
                <w:szCs w:val="22"/>
                <w:lang w:val="en-US"/>
              </w:rPr>
              <w:t>Soeast</w:t>
            </w:r>
            <w:proofErr w:type="spellEnd"/>
            <w:r w:rsidRPr="0052430E">
              <w:rPr>
                <w:rFonts w:asciiTheme="minorHAnsi" w:hAnsiTheme="minorHAnsi" w:cstheme="minorHAnsi"/>
                <w:sz w:val="16"/>
                <w:szCs w:val="22"/>
                <w:lang w:val="en-US"/>
              </w:rPr>
              <w:t xml:space="preserve"> (2008), Dalton et al.  (2009), </w:t>
            </w:r>
            <w:r w:rsidRPr="0052430E">
              <w:rPr>
                <w:rFonts w:asciiTheme="minorHAnsi" w:hAnsiTheme="minorHAnsi" w:cstheme="minorHAnsi"/>
                <w:sz w:val="16"/>
                <w:szCs w:val="22"/>
                <w:lang w:val="en-US" w:eastAsia="es-MX"/>
              </w:rPr>
              <w:t>De Witte Et al. (2013).</w:t>
            </w:r>
          </w:p>
        </w:tc>
      </w:tr>
    </w:tbl>
    <w:p w:rsidR="00043465" w:rsidRDefault="00043465" w:rsidP="00D91D8B">
      <w:pPr>
        <w:jc w:val="both"/>
        <w:rPr>
          <w:rFonts w:ascii="Arial" w:hAnsi="Arial" w:cs="Arial"/>
          <w:b/>
          <w:sz w:val="22"/>
          <w:szCs w:val="22"/>
        </w:rPr>
      </w:pPr>
    </w:p>
    <w:p w:rsidR="00043465" w:rsidRPr="0052430E" w:rsidRDefault="00785007" w:rsidP="00043465">
      <w:pPr>
        <w:jc w:val="both"/>
        <w:rPr>
          <w:rFonts w:ascii="Arial" w:hAnsi="Arial" w:cs="Arial"/>
          <w:b/>
          <w:sz w:val="22"/>
          <w:szCs w:val="22"/>
        </w:rPr>
      </w:pPr>
      <w:r>
        <w:rPr>
          <w:rFonts w:ascii="Arial" w:hAnsi="Arial" w:cs="Arial"/>
          <w:b/>
          <w:sz w:val="22"/>
          <w:szCs w:val="22"/>
        </w:rPr>
        <w:t>3.1.1  Variables del factor i</w:t>
      </w:r>
      <w:r w:rsidR="00043465" w:rsidRPr="0052430E">
        <w:rPr>
          <w:rFonts w:ascii="Arial" w:hAnsi="Arial" w:cs="Arial"/>
          <w:b/>
          <w:sz w:val="22"/>
          <w:szCs w:val="22"/>
        </w:rPr>
        <w:t>ndividual</w:t>
      </w:r>
    </w:p>
    <w:p w:rsidR="00043465" w:rsidRPr="0052430E" w:rsidRDefault="00043465" w:rsidP="00043465">
      <w:pPr>
        <w:jc w:val="both"/>
        <w:rPr>
          <w:rFonts w:ascii="Arial" w:hAnsi="Arial" w:cs="Arial"/>
          <w:sz w:val="22"/>
          <w:szCs w:val="22"/>
        </w:rPr>
      </w:pPr>
    </w:p>
    <w:p w:rsidR="00043465" w:rsidRPr="0052430E" w:rsidRDefault="00043465" w:rsidP="00043465">
      <w:pPr>
        <w:jc w:val="both"/>
        <w:rPr>
          <w:rFonts w:ascii="Arial" w:hAnsi="Arial" w:cs="Arial"/>
          <w:sz w:val="22"/>
          <w:szCs w:val="22"/>
        </w:rPr>
      </w:pPr>
      <w:r w:rsidRPr="0052430E">
        <w:rPr>
          <w:rFonts w:ascii="Arial" w:hAnsi="Arial" w:cs="Arial"/>
          <w:sz w:val="22"/>
          <w:szCs w:val="22"/>
        </w:rPr>
        <w:t xml:space="preserve">Dentro de la literatura se encontraron que los estudios relacionados con el factor individual han tenido en cuenta las siguientes variables: edad, género, estado civil, participación en actividades extraacadémicas, embarazo o paternidad adolecente, asistencia a clases, proceder de </w:t>
      </w:r>
      <w:r w:rsidRPr="0052430E">
        <w:rPr>
          <w:rFonts w:ascii="Arial" w:hAnsi="Arial" w:cs="Arial"/>
          <w:sz w:val="22"/>
          <w:szCs w:val="22"/>
        </w:rPr>
        <w:lastRenderedPageBreak/>
        <w:t>otra región, tiempo de inicio de los estudios universitarios, tamaño de la familia, estructura familiar, apoyo familiar, habilidad académica, nivel de calidad del estudiante, índice cultural, relación con los padres, uso de sustancias psicoactivas, tipo de colegio, compromiso, grado de retención - acumulación de créditos, previa deserción y actitud y comportamiento, siendo estudiadas por diferentes autores, como se puede observar en la Tabla 2.</w:t>
      </w:r>
    </w:p>
    <w:p w:rsidR="00043465" w:rsidRDefault="00043465" w:rsidP="00D91D8B">
      <w:pPr>
        <w:jc w:val="both"/>
        <w:rPr>
          <w:rFonts w:ascii="Arial" w:hAnsi="Arial" w:cs="Arial"/>
          <w:b/>
          <w:sz w:val="22"/>
          <w:szCs w:val="22"/>
        </w:rPr>
      </w:pPr>
    </w:p>
    <w:p w:rsidR="00D91D8B" w:rsidRPr="0052430E" w:rsidRDefault="00785007" w:rsidP="00D91D8B">
      <w:pPr>
        <w:jc w:val="both"/>
        <w:rPr>
          <w:rFonts w:ascii="Arial" w:hAnsi="Arial" w:cs="Arial"/>
          <w:b/>
          <w:sz w:val="22"/>
          <w:szCs w:val="22"/>
        </w:rPr>
      </w:pPr>
      <w:r>
        <w:rPr>
          <w:rFonts w:ascii="Arial" w:hAnsi="Arial" w:cs="Arial"/>
          <w:b/>
          <w:sz w:val="22"/>
          <w:szCs w:val="22"/>
        </w:rPr>
        <w:t>3.1.2 Variables del factor a</w:t>
      </w:r>
      <w:r w:rsidR="00D91D8B" w:rsidRPr="0052430E">
        <w:rPr>
          <w:rFonts w:ascii="Arial" w:hAnsi="Arial" w:cs="Arial"/>
          <w:b/>
          <w:sz w:val="22"/>
          <w:szCs w:val="22"/>
        </w:rPr>
        <w:t>cadémico</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Con relación al Factor Académico, los estudios realizados han incluido las siguientes variables: orientación profesional, desarrollo intelectual, rendimiento académico, calidad del programa, métodos de estudio, resultados en el examen de ingreso, satisfacción con el programa, numero de materias, realización de cursos vacacionales y procesos de admisión. Estas variables han sido estudiadas parcialmente por los autores, sin embargo se encuentran semejanzas entre algunos de ellos.</w:t>
      </w:r>
    </w:p>
    <w:p w:rsidR="00D91D8B" w:rsidRPr="0052430E" w:rsidRDefault="00D91D8B" w:rsidP="00D91D8B">
      <w:pPr>
        <w:jc w:val="both"/>
        <w:rPr>
          <w:rFonts w:ascii="Arial" w:hAnsi="Arial" w:cs="Arial"/>
          <w:sz w:val="22"/>
          <w:szCs w:val="22"/>
        </w:rPr>
      </w:pPr>
    </w:p>
    <w:p w:rsidR="00D91D8B" w:rsidRPr="0052430E" w:rsidRDefault="00785007" w:rsidP="00D91D8B">
      <w:pPr>
        <w:jc w:val="both"/>
        <w:rPr>
          <w:rFonts w:ascii="Arial" w:hAnsi="Arial" w:cs="Arial"/>
          <w:b/>
          <w:sz w:val="22"/>
          <w:szCs w:val="22"/>
        </w:rPr>
      </w:pPr>
      <w:r>
        <w:rPr>
          <w:rFonts w:ascii="Arial" w:hAnsi="Arial" w:cs="Arial"/>
          <w:b/>
          <w:sz w:val="22"/>
          <w:szCs w:val="22"/>
        </w:rPr>
        <w:t>3.1.3  Variables del f</w:t>
      </w:r>
      <w:r w:rsidR="00D91D8B" w:rsidRPr="0052430E">
        <w:rPr>
          <w:rFonts w:ascii="Arial" w:hAnsi="Arial" w:cs="Arial"/>
          <w:b/>
          <w:sz w:val="22"/>
          <w:szCs w:val="22"/>
        </w:rPr>
        <w:t>actor institucional</w:t>
      </w:r>
    </w:p>
    <w:p w:rsidR="00D91D8B" w:rsidRPr="0052430E" w:rsidRDefault="00D91D8B" w:rsidP="00D91D8B">
      <w:pPr>
        <w:jc w:val="both"/>
        <w:rPr>
          <w:rFonts w:ascii="Arial" w:hAnsi="Arial" w:cs="Arial"/>
          <w:sz w:val="22"/>
          <w:szCs w:val="22"/>
        </w:rPr>
      </w:pPr>
    </w:p>
    <w:p w:rsidR="00773548" w:rsidRPr="0052430E" w:rsidRDefault="00D91D8B" w:rsidP="00D91D8B">
      <w:pPr>
        <w:jc w:val="both"/>
        <w:rPr>
          <w:rFonts w:ascii="Arial" w:hAnsi="Arial" w:cs="Arial"/>
          <w:sz w:val="22"/>
          <w:szCs w:val="22"/>
        </w:rPr>
      </w:pPr>
      <w:r w:rsidRPr="0052430E">
        <w:rPr>
          <w:rFonts w:ascii="Arial" w:hAnsi="Arial" w:cs="Arial"/>
          <w:sz w:val="22"/>
          <w:szCs w:val="22"/>
        </w:rPr>
        <w:t xml:space="preserve">Los autores que han estudiado el factor individual han incluido </w:t>
      </w:r>
      <w:r w:rsidR="00F319AF">
        <w:rPr>
          <w:rFonts w:ascii="Arial" w:hAnsi="Arial" w:cs="Arial"/>
          <w:sz w:val="22"/>
          <w:szCs w:val="22"/>
        </w:rPr>
        <w:t xml:space="preserve">entre otras variables de </w:t>
      </w:r>
      <w:r w:rsidRPr="0052430E">
        <w:rPr>
          <w:rFonts w:ascii="Arial" w:hAnsi="Arial" w:cs="Arial"/>
          <w:sz w:val="22"/>
          <w:szCs w:val="22"/>
        </w:rPr>
        <w:t>este factor: normativas académicas, becas y formas de financiamiento, recursos universitarios, nivel de interacción personal con los profesores y estudiantes, apoyo académico y psicológico, características estructurales, tipo de universidad, tamaño de los grupos, proporción docente – estudiante, clima social y académico y experiencia de los docentes.</w:t>
      </w:r>
    </w:p>
    <w:p w:rsidR="00B65EBE" w:rsidRPr="0052430E" w:rsidRDefault="00B65EBE" w:rsidP="00D91D8B">
      <w:pPr>
        <w:jc w:val="both"/>
        <w:rPr>
          <w:rFonts w:ascii="Arial" w:hAnsi="Arial" w:cs="Arial"/>
          <w:sz w:val="22"/>
          <w:szCs w:val="22"/>
        </w:rPr>
      </w:pPr>
    </w:p>
    <w:p w:rsidR="00D91D8B" w:rsidRPr="0052430E" w:rsidRDefault="00785007" w:rsidP="00D91D8B">
      <w:pPr>
        <w:jc w:val="both"/>
        <w:rPr>
          <w:rFonts w:ascii="Arial" w:hAnsi="Arial" w:cs="Arial"/>
          <w:b/>
          <w:sz w:val="22"/>
          <w:szCs w:val="22"/>
        </w:rPr>
      </w:pPr>
      <w:r>
        <w:rPr>
          <w:rFonts w:ascii="Arial" w:hAnsi="Arial" w:cs="Arial"/>
          <w:b/>
          <w:sz w:val="22"/>
          <w:szCs w:val="22"/>
        </w:rPr>
        <w:t>3.1.4 Variables del factor s</w:t>
      </w:r>
      <w:r w:rsidR="00D91D8B" w:rsidRPr="0052430E">
        <w:rPr>
          <w:rFonts w:ascii="Arial" w:hAnsi="Arial" w:cs="Arial"/>
          <w:b/>
          <w:sz w:val="22"/>
          <w:szCs w:val="22"/>
        </w:rPr>
        <w:t xml:space="preserve">ocioeconómico </w:t>
      </w:r>
    </w:p>
    <w:p w:rsidR="00F319AF" w:rsidRDefault="00F319AF" w:rsidP="00D91D8B">
      <w:pPr>
        <w:jc w:val="both"/>
        <w:rPr>
          <w:rFonts w:ascii="Arial" w:hAnsi="Arial" w:cs="Arial"/>
          <w:sz w:val="22"/>
          <w:szCs w:val="22"/>
          <w:lang w:eastAsia="es-MX"/>
        </w:rPr>
      </w:pPr>
    </w:p>
    <w:p w:rsidR="00D91D8B" w:rsidRPr="0052430E" w:rsidRDefault="00D91D8B" w:rsidP="00D91D8B">
      <w:pPr>
        <w:jc w:val="both"/>
        <w:rPr>
          <w:rFonts w:ascii="Arial" w:hAnsi="Arial" w:cs="Arial"/>
          <w:sz w:val="22"/>
          <w:szCs w:val="22"/>
          <w:lang w:eastAsia="es-MX"/>
        </w:rPr>
      </w:pPr>
      <w:r w:rsidRPr="0052430E">
        <w:rPr>
          <w:rFonts w:ascii="Arial" w:hAnsi="Arial" w:cs="Arial"/>
          <w:sz w:val="22"/>
          <w:szCs w:val="22"/>
          <w:lang w:eastAsia="es-MX"/>
        </w:rPr>
        <w:t xml:space="preserve">Entre las variables que han constituido el Factor Socioeconómico, se encuentran: estrato, situación laboral, situación laboral de los padres e ingresos, nivel educativo de los padres, profesión de los padres, amigos, situación geográfica de la residencia, </w:t>
      </w:r>
      <w:r w:rsidRPr="0052430E">
        <w:rPr>
          <w:rFonts w:ascii="Arial" w:hAnsi="Arial" w:cs="Arial"/>
          <w:sz w:val="22"/>
          <w:szCs w:val="22"/>
          <w:lang w:eastAsia="es-MX"/>
        </w:rPr>
        <w:lastRenderedPageBreak/>
        <w:t xml:space="preserve">características del barrio y apoyo económico (dependencia). Encontrándose una relación de las variables del factor socioeconómicos entre algunos autores simultáneamente. </w:t>
      </w:r>
    </w:p>
    <w:p w:rsidR="00D91D8B" w:rsidRPr="0052430E" w:rsidRDefault="00D91D8B" w:rsidP="00D91D8B">
      <w:pPr>
        <w:jc w:val="both"/>
        <w:rPr>
          <w:rFonts w:ascii="Arial" w:hAnsi="Arial" w:cs="Arial"/>
          <w:b/>
          <w:sz w:val="22"/>
          <w:szCs w:val="22"/>
        </w:rPr>
      </w:pPr>
    </w:p>
    <w:p w:rsidR="00D91D8B" w:rsidRPr="0052430E" w:rsidRDefault="00D91D8B" w:rsidP="00D91D8B">
      <w:pPr>
        <w:jc w:val="both"/>
        <w:rPr>
          <w:rFonts w:ascii="Arial" w:hAnsi="Arial" w:cs="Arial"/>
          <w:b/>
          <w:sz w:val="22"/>
          <w:szCs w:val="22"/>
        </w:rPr>
      </w:pPr>
      <w:r w:rsidRPr="0052430E">
        <w:rPr>
          <w:rFonts w:ascii="Arial" w:hAnsi="Arial" w:cs="Arial"/>
          <w:b/>
          <w:sz w:val="22"/>
          <w:szCs w:val="22"/>
        </w:rPr>
        <w:t xml:space="preserve">3.2 Priorización de las variables asociadas a cada factor </w:t>
      </w:r>
    </w:p>
    <w:p w:rsidR="00D91D8B" w:rsidRPr="0052430E" w:rsidRDefault="00D91D8B" w:rsidP="00D91D8B">
      <w:pPr>
        <w:jc w:val="both"/>
        <w:rPr>
          <w:rFonts w:ascii="Arial" w:hAnsi="Arial" w:cs="Arial"/>
          <w:sz w:val="22"/>
          <w:szCs w:val="22"/>
        </w:rPr>
      </w:pPr>
    </w:p>
    <w:p w:rsidR="00D91D8B" w:rsidRPr="0052430E" w:rsidRDefault="00D91D8B" w:rsidP="00D91D8B">
      <w:pPr>
        <w:jc w:val="both"/>
        <w:rPr>
          <w:rFonts w:ascii="Arial" w:hAnsi="Arial" w:cs="Arial"/>
          <w:sz w:val="22"/>
          <w:szCs w:val="22"/>
        </w:rPr>
      </w:pPr>
      <w:r w:rsidRPr="0052430E">
        <w:rPr>
          <w:rFonts w:ascii="Arial" w:hAnsi="Arial" w:cs="Arial"/>
          <w:sz w:val="22"/>
          <w:szCs w:val="22"/>
        </w:rPr>
        <w:t>Continuando con la aplicación de la metodología, se realizó la priorización de las variables que están asociadas con cada factor y que harán parte del modelo de gestión integral de deserción, utilizando como herramienta de priorización el Principio de  Pareto (Cuatrecasas, 2012), el cual establece que el 20% de las causas (variables estudiadas en cada factor) determinan el 80% del problema (De la</w:t>
      </w:r>
      <w:r w:rsidR="00E62579">
        <w:rPr>
          <w:rFonts w:ascii="Arial" w:hAnsi="Arial" w:cs="Arial"/>
          <w:sz w:val="22"/>
          <w:szCs w:val="22"/>
        </w:rPr>
        <w:t>s</w:t>
      </w:r>
      <w:r w:rsidRPr="0052430E">
        <w:rPr>
          <w:rFonts w:ascii="Arial" w:hAnsi="Arial" w:cs="Arial"/>
          <w:sz w:val="22"/>
          <w:szCs w:val="22"/>
        </w:rPr>
        <w:t xml:space="preserve"> </w:t>
      </w:r>
      <w:proofErr w:type="spellStart"/>
      <w:r w:rsidR="00E62579">
        <w:rPr>
          <w:rFonts w:ascii="Arial" w:hAnsi="Arial" w:cs="Arial"/>
          <w:sz w:val="22"/>
          <w:szCs w:val="22"/>
        </w:rPr>
        <w:t>caracteristicas</w:t>
      </w:r>
      <w:proofErr w:type="spellEnd"/>
      <w:r w:rsidRPr="0052430E">
        <w:rPr>
          <w:rFonts w:ascii="Arial" w:hAnsi="Arial" w:cs="Arial"/>
          <w:sz w:val="22"/>
          <w:szCs w:val="22"/>
        </w:rPr>
        <w:t xml:space="preserve"> </w:t>
      </w:r>
      <w:r w:rsidR="00052D72">
        <w:rPr>
          <w:rFonts w:ascii="Arial" w:hAnsi="Arial" w:cs="Arial"/>
          <w:sz w:val="22"/>
          <w:szCs w:val="22"/>
        </w:rPr>
        <w:t>de</w:t>
      </w:r>
      <w:r w:rsidRPr="0052430E">
        <w:rPr>
          <w:rFonts w:ascii="Arial" w:hAnsi="Arial" w:cs="Arial"/>
          <w:sz w:val="22"/>
          <w:szCs w:val="22"/>
        </w:rPr>
        <w:t xml:space="preserve"> cada factor). Lo anterior, teniendo en cuenta que el principio de  Pareto  </w:t>
      </w:r>
      <w:r w:rsidRPr="0052430E">
        <w:rPr>
          <w:rFonts w:ascii="Arial" w:hAnsi="Arial" w:cs="Arial"/>
          <w:i/>
          <w:sz w:val="22"/>
          <w:szCs w:val="22"/>
        </w:rPr>
        <w:t>i)</w:t>
      </w:r>
      <w:r w:rsidRPr="0052430E">
        <w:rPr>
          <w:rFonts w:ascii="Arial" w:hAnsi="Arial" w:cs="Arial"/>
          <w:sz w:val="22"/>
          <w:szCs w:val="22"/>
        </w:rPr>
        <w:t xml:space="preserve"> permite tomar decisiones a partir de un análisis comparativo, </w:t>
      </w:r>
      <w:r w:rsidRPr="0052430E">
        <w:rPr>
          <w:rFonts w:ascii="Arial" w:hAnsi="Arial" w:cs="Arial"/>
          <w:i/>
          <w:sz w:val="22"/>
          <w:szCs w:val="22"/>
        </w:rPr>
        <w:t>ii)</w:t>
      </w:r>
      <w:r w:rsidRPr="0052430E">
        <w:rPr>
          <w:rFonts w:ascii="Arial" w:hAnsi="Arial" w:cs="Arial"/>
          <w:sz w:val="22"/>
          <w:szCs w:val="22"/>
        </w:rPr>
        <w:t xml:space="preserve"> sirve identificar las variables que tienen mayor influencia en un problema, </w:t>
      </w:r>
      <w:r w:rsidRPr="0052430E">
        <w:rPr>
          <w:rFonts w:ascii="Arial" w:hAnsi="Arial" w:cs="Arial"/>
          <w:i/>
          <w:sz w:val="22"/>
          <w:szCs w:val="22"/>
        </w:rPr>
        <w:t>iii)</w:t>
      </w:r>
      <w:r w:rsidRPr="0052430E">
        <w:rPr>
          <w:rFonts w:ascii="Arial" w:hAnsi="Arial" w:cs="Arial"/>
          <w:sz w:val="22"/>
          <w:szCs w:val="22"/>
        </w:rPr>
        <w:t xml:space="preserve"> ayuda a enfocar la solución en el tratamiento de las causas más importantes y </w:t>
      </w:r>
      <w:r w:rsidRPr="0052430E">
        <w:rPr>
          <w:rFonts w:ascii="Arial" w:hAnsi="Arial" w:cs="Arial"/>
          <w:i/>
          <w:sz w:val="22"/>
          <w:szCs w:val="22"/>
        </w:rPr>
        <w:t>iv)</w:t>
      </w:r>
      <w:r w:rsidRPr="0052430E">
        <w:rPr>
          <w:rFonts w:ascii="Arial" w:hAnsi="Arial" w:cs="Arial"/>
          <w:sz w:val="22"/>
          <w:szCs w:val="22"/>
        </w:rPr>
        <w:t xml:space="preserve"> permite evaluar la eficiencia de las soluciones. </w:t>
      </w:r>
    </w:p>
    <w:p w:rsidR="00D91D8B" w:rsidRPr="00AA3B36" w:rsidRDefault="00D91D8B" w:rsidP="00D91D8B">
      <w:pPr>
        <w:jc w:val="both"/>
        <w:rPr>
          <w:rFonts w:ascii="Arial" w:hAnsi="Arial" w:cs="Arial"/>
          <w:sz w:val="20"/>
          <w:szCs w:val="20"/>
        </w:rPr>
      </w:pPr>
    </w:p>
    <w:p w:rsidR="00777B99" w:rsidRPr="0052430E" w:rsidRDefault="00777B99" w:rsidP="00777B99">
      <w:pPr>
        <w:jc w:val="both"/>
        <w:rPr>
          <w:rFonts w:ascii="Arial" w:hAnsi="Arial" w:cs="Arial"/>
          <w:sz w:val="20"/>
          <w:szCs w:val="20"/>
        </w:rPr>
      </w:pPr>
      <w:r w:rsidRPr="0052430E">
        <w:rPr>
          <w:rFonts w:ascii="Arial" w:hAnsi="Arial" w:cs="Arial"/>
          <w:b/>
          <w:sz w:val="20"/>
          <w:szCs w:val="20"/>
        </w:rPr>
        <w:t>Figura 2.</w:t>
      </w:r>
      <w:r w:rsidRPr="0052430E">
        <w:rPr>
          <w:rFonts w:ascii="Arial" w:hAnsi="Arial" w:cs="Arial"/>
          <w:sz w:val="20"/>
          <w:szCs w:val="20"/>
        </w:rPr>
        <w:t xml:space="preserve"> Variables consideradas en el factor individual</w:t>
      </w:r>
    </w:p>
    <w:p w:rsidR="00777B99" w:rsidRPr="0052430E" w:rsidRDefault="00850906" w:rsidP="00D91D8B">
      <w:pPr>
        <w:jc w:val="both"/>
        <w:rPr>
          <w:rFonts w:ascii="Arial" w:hAnsi="Arial" w:cs="Arial"/>
          <w:sz w:val="22"/>
          <w:szCs w:val="22"/>
        </w:rPr>
      </w:pPr>
      <w:r>
        <w:rPr>
          <w:noProof/>
          <w:lang w:val="es-CO" w:eastAsia="es-CO"/>
        </w:rPr>
        <w:drawing>
          <wp:anchor distT="0" distB="0" distL="114300" distR="114300" simplePos="0" relativeHeight="251658240" behindDoc="0" locked="0" layoutInCell="1" allowOverlap="1" wp14:anchorId="242B12DF" wp14:editId="237FB228">
            <wp:simplePos x="0" y="0"/>
            <wp:positionH relativeFrom="column">
              <wp:posOffset>-243205</wp:posOffset>
            </wp:positionH>
            <wp:positionV relativeFrom="paragraph">
              <wp:posOffset>131445</wp:posOffset>
            </wp:positionV>
            <wp:extent cx="3133725" cy="2143125"/>
            <wp:effectExtent l="0" t="0" r="0" b="0"/>
            <wp:wrapSquare wrapText="bothSides"/>
            <wp:docPr id="6" name="Grá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850906" w:rsidRPr="0052430E" w:rsidRDefault="00850906" w:rsidP="00850906">
      <w:pPr>
        <w:jc w:val="both"/>
        <w:rPr>
          <w:rFonts w:ascii="Arial" w:hAnsi="Arial" w:cs="Arial"/>
          <w:sz w:val="22"/>
          <w:szCs w:val="22"/>
        </w:rPr>
      </w:pPr>
      <w:r w:rsidRPr="0052430E">
        <w:rPr>
          <w:rFonts w:ascii="Arial" w:hAnsi="Arial" w:cs="Arial"/>
          <w:sz w:val="22"/>
          <w:szCs w:val="22"/>
        </w:rPr>
        <w:t xml:space="preserve">Para la aplicación del  Principio de Pareto; primero, se identificó el número de autores (frecuencia) para cada una variable de acuerdo con los factores: individual, académico, institucional y socioeconómico. </w:t>
      </w:r>
    </w:p>
    <w:p w:rsidR="009B0B97" w:rsidRPr="0052430E" w:rsidRDefault="009B0B97" w:rsidP="009B0B97">
      <w:pPr>
        <w:jc w:val="both"/>
        <w:rPr>
          <w:rFonts w:ascii="Arial" w:hAnsi="Arial" w:cs="Arial"/>
          <w:sz w:val="22"/>
          <w:szCs w:val="22"/>
        </w:rPr>
      </w:pPr>
      <w:r w:rsidRPr="0052430E">
        <w:rPr>
          <w:rFonts w:ascii="Arial" w:hAnsi="Arial" w:cs="Arial"/>
          <w:sz w:val="22"/>
          <w:szCs w:val="22"/>
        </w:rPr>
        <w:lastRenderedPageBreak/>
        <w:t>En la Figura 2 se presentan el número de autores asociado a cada variable para el Factor Individual, con base en la revisión de la literatura ordenados de mayor a menor, así: 1) Genero 2) Estructura familiar 3) Habilidad académica 4) Relación con los padres 5) Grado de retención – acumulación de créditos 6) Edad 7) Actitud y comportamiento 8) Previa deserción 9) Compromiso 10) Proceder de otra región 11) Tamaño de la familia 12) Embarazo adolecente o paternidad 13) Apoyo familiar 14) Participación en actividades extraacadémica 15) Uso de sustancias psicoactivas 16) Índice cultural 17) Asistencia a clases 18) Estado civil 19) Nivel de calidad del estudiante 20) Tiempo de inicio de los estudios universitarios 21) Tipo de colegio.</w:t>
      </w:r>
    </w:p>
    <w:p w:rsidR="009B0B97" w:rsidRPr="0052430E" w:rsidRDefault="009B0B97" w:rsidP="00D91D8B">
      <w:pPr>
        <w:jc w:val="both"/>
        <w:rPr>
          <w:rFonts w:ascii="Arial" w:hAnsi="Arial" w:cs="Arial"/>
          <w:sz w:val="22"/>
          <w:szCs w:val="22"/>
        </w:rPr>
      </w:pPr>
    </w:p>
    <w:p w:rsidR="00777B99" w:rsidRPr="0052430E" w:rsidRDefault="00777B99" w:rsidP="00777B99">
      <w:pPr>
        <w:jc w:val="both"/>
        <w:rPr>
          <w:rFonts w:ascii="Arial" w:hAnsi="Arial" w:cs="Arial"/>
          <w:sz w:val="22"/>
          <w:szCs w:val="22"/>
        </w:rPr>
      </w:pPr>
      <w:r w:rsidRPr="0052430E">
        <w:rPr>
          <w:rFonts w:ascii="Arial" w:hAnsi="Arial" w:cs="Arial"/>
          <w:sz w:val="22"/>
          <w:szCs w:val="22"/>
        </w:rPr>
        <w:t>Finalmente, se calculó la frecuencia relativa y la frecuencia acumulada para el factor individual y se procedió a realizar el diagrama de Pareto correspondiente.</w:t>
      </w:r>
    </w:p>
    <w:p w:rsidR="002753E2" w:rsidRPr="00AA3B36" w:rsidRDefault="002753E2" w:rsidP="00D91D8B">
      <w:pPr>
        <w:jc w:val="both"/>
        <w:rPr>
          <w:rFonts w:ascii="Arial" w:hAnsi="Arial" w:cs="Arial"/>
          <w:sz w:val="20"/>
          <w:szCs w:val="20"/>
        </w:rPr>
      </w:pPr>
    </w:p>
    <w:p w:rsidR="00777B99" w:rsidRPr="0052430E" w:rsidRDefault="00777B99" w:rsidP="00D91D8B">
      <w:pPr>
        <w:jc w:val="both"/>
        <w:rPr>
          <w:rFonts w:ascii="Arial" w:hAnsi="Arial" w:cs="Arial"/>
          <w:sz w:val="20"/>
          <w:szCs w:val="20"/>
        </w:rPr>
      </w:pPr>
      <w:r w:rsidRPr="0052430E">
        <w:rPr>
          <w:rFonts w:ascii="Arial" w:hAnsi="Arial" w:cs="Arial"/>
          <w:b/>
          <w:sz w:val="20"/>
          <w:szCs w:val="20"/>
        </w:rPr>
        <w:t>Figura 3.</w:t>
      </w:r>
      <w:r w:rsidRPr="0052430E">
        <w:rPr>
          <w:rFonts w:ascii="Arial" w:hAnsi="Arial" w:cs="Arial"/>
          <w:sz w:val="20"/>
          <w:szCs w:val="20"/>
        </w:rPr>
        <w:t xml:space="preserve"> Diagramas de Pareto para el factor individual</w:t>
      </w:r>
    </w:p>
    <w:p w:rsidR="00777B99" w:rsidRPr="00AA3B36" w:rsidRDefault="00777B99" w:rsidP="00D91D8B">
      <w:pPr>
        <w:jc w:val="both"/>
        <w:rPr>
          <w:rFonts w:ascii="Arial" w:hAnsi="Arial" w:cs="Arial"/>
          <w:sz w:val="20"/>
          <w:szCs w:val="20"/>
        </w:rPr>
      </w:pPr>
    </w:p>
    <w:p w:rsidR="00AA3B36" w:rsidRPr="00AA3B36" w:rsidRDefault="000F607A" w:rsidP="007D4B88">
      <w:pPr>
        <w:jc w:val="both"/>
        <w:rPr>
          <w:rFonts w:ascii="Arial" w:hAnsi="Arial" w:cs="Arial"/>
          <w:sz w:val="20"/>
          <w:szCs w:val="20"/>
        </w:rPr>
      </w:pPr>
      <w:r w:rsidRPr="0052430E">
        <w:object w:dxaOrig="7110" w:dyaOrig="41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5pt;height:132pt" o:ole="">
            <v:imagedata r:id="rId13" o:title=""/>
          </v:shape>
          <o:OLEObject Type="Embed" ProgID="Excel.Sheet.12" ShapeID="_x0000_i1025" DrawAspect="Content" ObjectID="_1522045723" r:id="rId14"/>
        </w:object>
      </w:r>
    </w:p>
    <w:p w:rsidR="00043465" w:rsidRDefault="007D4B88" w:rsidP="007D4B88">
      <w:pPr>
        <w:jc w:val="both"/>
        <w:rPr>
          <w:rFonts w:ascii="Arial" w:hAnsi="Arial" w:cs="Arial"/>
          <w:b/>
          <w:sz w:val="22"/>
          <w:szCs w:val="22"/>
        </w:rPr>
      </w:pPr>
      <w:r w:rsidRPr="0052430E">
        <w:rPr>
          <w:rFonts w:ascii="Arial" w:hAnsi="Arial" w:cs="Arial"/>
          <w:sz w:val="22"/>
          <w:szCs w:val="22"/>
        </w:rPr>
        <w:t xml:space="preserve">En la Figura 3 se presentan la priorización de las variables para el Factor Individual, a partir del principio de Pareto, evidenciándose que las variables </w:t>
      </w:r>
      <w:r>
        <w:rPr>
          <w:rFonts w:ascii="Arial" w:hAnsi="Arial" w:cs="Arial"/>
          <w:sz w:val="22"/>
          <w:szCs w:val="22"/>
        </w:rPr>
        <w:t xml:space="preserve">que </w:t>
      </w:r>
      <w:r w:rsidRPr="0052430E">
        <w:rPr>
          <w:rFonts w:ascii="Arial" w:hAnsi="Arial" w:cs="Arial"/>
          <w:sz w:val="22"/>
          <w:szCs w:val="22"/>
        </w:rPr>
        <w:t xml:space="preserve">representan el 80% </w:t>
      </w:r>
      <w:r>
        <w:rPr>
          <w:rFonts w:ascii="Arial" w:hAnsi="Arial" w:cs="Arial"/>
          <w:sz w:val="22"/>
          <w:szCs w:val="22"/>
        </w:rPr>
        <w:t xml:space="preserve">corresponden a:              </w:t>
      </w:r>
      <w:r w:rsidRPr="0052430E">
        <w:rPr>
          <w:rFonts w:ascii="Arial" w:hAnsi="Arial" w:cs="Arial"/>
          <w:sz w:val="22"/>
          <w:szCs w:val="22"/>
        </w:rPr>
        <w:t>1) Genero 2) Estructura familiar 3) Habilidad académica 4) Relación con los padres 5) Grado de retención – acumulación de créditos 6) Edad 7) Actitud y comportamiento 8) Previa deserción 9) Compromiso.</w:t>
      </w:r>
    </w:p>
    <w:p w:rsidR="004B0463" w:rsidRPr="0052430E" w:rsidRDefault="004B0463" w:rsidP="004B0463">
      <w:pPr>
        <w:rPr>
          <w:rFonts w:ascii="Arial" w:hAnsi="Arial" w:cs="Arial"/>
          <w:b/>
          <w:sz w:val="22"/>
          <w:szCs w:val="22"/>
        </w:rPr>
      </w:pPr>
      <w:r w:rsidRPr="0052430E">
        <w:rPr>
          <w:rFonts w:ascii="Arial" w:hAnsi="Arial" w:cs="Arial"/>
          <w:b/>
          <w:sz w:val="22"/>
          <w:szCs w:val="22"/>
        </w:rPr>
        <w:lastRenderedPageBreak/>
        <w:t xml:space="preserve">4. Resultados, discusión y análisis </w:t>
      </w:r>
    </w:p>
    <w:p w:rsidR="004B0463" w:rsidRPr="0052430E" w:rsidRDefault="004B0463" w:rsidP="004B0463">
      <w:pPr>
        <w:jc w:val="both"/>
        <w:rPr>
          <w:rFonts w:ascii="Arial" w:hAnsi="Arial" w:cs="Arial"/>
          <w:sz w:val="22"/>
          <w:szCs w:val="22"/>
        </w:rPr>
      </w:pPr>
    </w:p>
    <w:p w:rsidR="004B0463" w:rsidRPr="0052430E" w:rsidRDefault="004B0463" w:rsidP="004B0463">
      <w:pPr>
        <w:jc w:val="both"/>
        <w:rPr>
          <w:rFonts w:ascii="Arial" w:hAnsi="Arial" w:cs="Arial"/>
          <w:sz w:val="22"/>
          <w:szCs w:val="22"/>
        </w:rPr>
      </w:pPr>
      <w:r w:rsidRPr="0052430E">
        <w:rPr>
          <w:rFonts w:ascii="Arial" w:hAnsi="Arial" w:cs="Arial"/>
          <w:sz w:val="22"/>
          <w:szCs w:val="22"/>
        </w:rPr>
        <w:t xml:space="preserve">Una vez realizada la priorización de las variables para cada uno de los factores asociados a la deserción de acuerdo con la revisión de  literatura las variables más representativas en cada factor de deserción, </w:t>
      </w:r>
      <w:r w:rsidR="00DE540B" w:rsidRPr="0052430E">
        <w:rPr>
          <w:rFonts w:ascii="Arial" w:hAnsi="Arial" w:cs="Arial"/>
          <w:sz w:val="22"/>
          <w:szCs w:val="22"/>
        </w:rPr>
        <w:t>se presentan en la Tabla 3</w:t>
      </w:r>
      <w:r w:rsidR="006D1843">
        <w:rPr>
          <w:rFonts w:ascii="Arial" w:hAnsi="Arial" w:cs="Arial"/>
          <w:sz w:val="22"/>
          <w:szCs w:val="22"/>
        </w:rPr>
        <w:t>.</w:t>
      </w:r>
    </w:p>
    <w:p w:rsidR="007D4B88" w:rsidRDefault="007D4B88" w:rsidP="00020648">
      <w:pPr>
        <w:jc w:val="both"/>
        <w:rPr>
          <w:rFonts w:ascii="Arial" w:hAnsi="Arial" w:cs="Arial"/>
          <w:sz w:val="22"/>
          <w:szCs w:val="22"/>
        </w:rPr>
      </w:pPr>
    </w:p>
    <w:p w:rsidR="00020648" w:rsidRPr="0052430E" w:rsidRDefault="00020648" w:rsidP="00020648">
      <w:pPr>
        <w:jc w:val="both"/>
        <w:rPr>
          <w:rFonts w:ascii="Arial" w:hAnsi="Arial" w:cs="Arial"/>
          <w:sz w:val="22"/>
          <w:szCs w:val="22"/>
        </w:rPr>
      </w:pPr>
      <w:r w:rsidRPr="0052430E">
        <w:rPr>
          <w:rFonts w:ascii="Arial" w:hAnsi="Arial" w:cs="Arial"/>
          <w:sz w:val="22"/>
          <w:szCs w:val="22"/>
        </w:rPr>
        <w:t>4.1 Factor Individual</w:t>
      </w:r>
    </w:p>
    <w:p w:rsidR="00020648" w:rsidRPr="0052430E" w:rsidRDefault="00020648" w:rsidP="00020648">
      <w:pPr>
        <w:jc w:val="both"/>
        <w:rPr>
          <w:rFonts w:ascii="Arial" w:hAnsi="Arial" w:cs="Arial"/>
          <w:sz w:val="22"/>
          <w:szCs w:val="22"/>
        </w:rPr>
      </w:pPr>
    </w:p>
    <w:p w:rsidR="00020648" w:rsidRPr="0052430E" w:rsidRDefault="00020648" w:rsidP="00020648">
      <w:pPr>
        <w:jc w:val="both"/>
        <w:rPr>
          <w:rFonts w:ascii="Arial" w:hAnsi="Arial" w:cs="Arial"/>
          <w:sz w:val="22"/>
          <w:szCs w:val="22"/>
        </w:rPr>
      </w:pPr>
      <w:r w:rsidRPr="0052430E">
        <w:rPr>
          <w:rFonts w:ascii="Arial" w:hAnsi="Arial" w:cs="Arial"/>
          <w:sz w:val="22"/>
          <w:szCs w:val="22"/>
        </w:rPr>
        <w:t>En la evaluación del Factor Individual podemos evidenciar que nueve de las variables iniciales representan el 80% de las causas de deserción asociadas a este este factor, mientras que las doce variables restantes están correlacionadas con una o varias variables de las más representativas, es decir que encontramos que las variables independientes son: género, estructura familiar, habilidad académica, relación con los padres, edad, grado de retención, actitud y comportamiento, previa deserción y compromiso; mientras las variables dependientes son: procedencia de otra región, asistencia a clase, nivel de calidad del estudiante, estado civil, tipo de colegio, tiempo de inicio de estudios universitarios, tamaño de la familia, índice cultural, apoyo familiar, embarazo o paternidad temprana, participación en actividades  extraacadémicas y el uso de sustancias psicoactivas.</w:t>
      </w:r>
    </w:p>
    <w:p w:rsidR="00020648" w:rsidRDefault="00020648" w:rsidP="004B0463">
      <w:pPr>
        <w:jc w:val="both"/>
        <w:rPr>
          <w:rFonts w:ascii="Arial" w:hAnsi="Arial" w:cs="Arial"/>
          <w:sz w:val="22"/>
          <w:szCs w:val="22"/>
        </w:rPr>
      </w:pPr>
    </w:p>
    <w:p w:rsidR="007D4B88" w:rsidRPr="0052430E" w:rsidRDefault="007D4B88" w:rsidP="007D4B88">
      <w:pPr>
        <w:jc w:val="both"/>
        <w:rPr>
          <w:rFonts w:ascii="Arial" w:hAnsi="Arial" w:cs="Arial"/>
          <w:sz w:val="22"/>
          <w:szCs w:val="22"/>
        </w:rPr>
      </w:pPr>
      <w:r w:rsidRPr="0052430E">
        <w:rPr>
          <w:rFonts w:ascii="Arial" w:hAnsi="Arial" w:cs="Arial"/>
          <w:sz w:val="22"/>
          <w:szCs w:val="22"/>
        </w:rPr>
        <w:t>4.2 Factor Académico</w:t>
      </w:r>
    </w:p>
    <w:p w:rsidR="007D4B88" w:rsidRPr="0052430E" w:rsidRDefault="007D4B88" w:rsidP="007D4B88">
      <w:pPr>
        <w:jc w:val="both"/>
        <w:rPr>
          <w:rFonts w:ascii="Arial" w:hAnsi="Arial" w:cs="Arial"/>
          <w:sz w:val="22"/>
          <w:szCs w:val="22"/>
        </w:rPr>
      </w:pPr>
    </w:p>
    <w:p w:rsidR="007D4B88" w:rsidRPr="0052430E" w:rsidRDefault="007D4B88" w:rsidP="007D4B88">
      <w:pPr>
        <w:jc w:val="both"/>
        <w:rPr>
          <w:rFonts w:ascii="Arial" w:hAnsi="Arial" w:cs="Arial"/>
          <w:sz w:val="22"/>
          <w:szCs w:val="22"/>
        </w:rPr>
      </w:pPr>
      <w:r w:rsidRPr="0052430E">
        <w:rPr>
          <w:rFonts w:ascii="Arial" w:hAnsi="Arial" w:cs="Arial"/>
          <w:sz w:val="22"/>
          <w:szCs w:val="22"/>
        </w:rPr>
        <w:t xml:space="preserve">En cuanto al Factor Académico se seleccionaron cinco variables independientes, siendo estas: rendimiento académico, satisfacción con el programa, calidad del programa, orientación profesional y desarrollo intelectual, asociándose las variables dependientes a alguna o algunas de las variables independientes. Las variables dependientes son: número de materias, proceso de admisión, método de estudio, resultado del examen de ingreso y la realización de cursos vacacionales. </w:t>
      </w:r>
    </w:p>
    <w:p w:rsidR="007D4B88" w:rsidRPr="00AA3B36" w:rsidRDefault="007D4B88" w:rsidP="004B0463">
      <w:pPr>
        <w:jc w:val="both"/>
        <w:rPr>
          <w:rFonts w:ascii="Arial" w:hAnsi="Arial" w:cs="Arial"/>
          <w:sz w:val="20"/>
          <w:szCs w:val="20"/>
        </w:rPr>
      </w:pPr>
    </w:p>
    <w:p w:rsidR="007D6449" w:rsidRPr="0052430E" w:rsidRDefault="007D6449" w:rsidP="007D6449">
      <w:pPr>
        <w:pStyle w:val="Textoindependiente2"/>
        <w:rPr>
          <w:szCs w:val="20"/>
        </w:rPr>
      </w:pPr>
      <w:r w:rsidRPr="0052430E">
        <w:rPr>
          <w:b/>
          <w:szCs w:val="20"/>
        </w:rPr>
        <w:lastRenderedPageBreak/>
        <w:t>Tabla 3.</w:t>
      </w:r>
      <w:r w:rsidRPr="0052430E">
        <w:rPr>
          <w:szCs w:val="20"/>
        </w:rPr>
        <w:t xml:space="preserve"> Consolidado variables priorizadas para cada factor de deserción</w:t>
      </w:r>
    </w:p>
    <w:p w:rsidR="00DE540B" w:rsidRPr="00AA3B36" w:rsidRDefault="00DE540B" w:rsidP="004B0463">
      <w:pPr>
        <w:jc w:val="both"/>
        <w:rPr>
          <w:rFonts w:ascii="Arial" w:hAnsi="Arial" w:cs="Arial"/>
          <w:sz w:val="20"/>
          <w:szCs w:val="20"/>
        </w:rPr>
      </w:pPr>
    </w:p>
    <w:tbl>
      <w:tblPr>
        <w:tblW w:w="492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8"/>
        <w:gridCol w:w="3017"/>
      </w:tblGrid>
      <w:tr w:rsidR="0052430E" w:rsidRPr="0052430E" w:rsidTr="00020648">
        <w:trPr>
          <w:trHeight w:val="300"/>
        </w:trPr>
        <w:tc>
          <w:tcPr>
            <w:tcW w:w="1599" w:type="pct"/>
            <w:shd w:val="clear" w:color="auto" w:fill="auto"/>
            <w:noWrap/>
            <w:vAlign w:val="bottom"/>
            <w:hideMark/>
          </w:tcPr>
          <w:p w:rsidR="00020648" w:rsidRPr="0052430E" w:rsidRDefault="00020648" w:rsidP="00080892">
            <w:pPr>
              <w:jc w:val="center"/>
              <w:rPr>
                <w:rFonts w:asciiTheme="minorHAnsi" w:hAnsiTheme="minorHAnsi" w:cstheme="minorHAnsi"/>
                <w:b/>
                <w:sz w:val="16"/>
                <w:szCs w:val="20"/>
                <w:lang w:eastAsia="es-MX"/>
              </w:rPr>
            </w:pPr>
            <w:r w:rsidRPr="0052430E">
              <w:rPr>
                <w:rFonts w:asciiTheme="minorHAnsi" w:hAnsiTheme="minorHAnsi" w:cstheme="minorHAnsi"/>
                <w:b/>
                <w:sz w:val="16"/>
                <w:szCs w:val="20"/>
                <w:lang w:eastAsia="es-MX"/>
              </w:rPr>
              <w:t>FACTOR</w:t>
            </w:r>
          </w:p>
        </w:tc>
        <w:tc>
          <w:tcPr>
            <w:tcW w:w="3401" w:type="pct"/>
            <w:shd w:val="clear" w:color="auto" w:fill="auto"/>
            <w:noWrap/>
            <w:vAlign w:val="bottom"/>
            <w:hideMark/>
          </w:tcPr>
          <w:p w:rsidR="00020648" w:rsidRPr="0052430E" w:rsidRDefault="00020648" w:rsidP="00080892">
            <w:pPr>
              <w:jc w:val="center"/>
              <w:rPr>
                <w:rFonts w:asciiTheme="minorHAnsi" w:hAnsiTheme="minorHAnsi" w:cstheme="minorHAnsi"/>
                <w:b/>
                <w:sz w:val="16"/>
                <w:szCs w:val="20"/>
                <w:lang w:eastAsia="es-MX"/>
              </w:rPr>
            </w:pPr>
            <w:r w:rsidRPr="0052430E">
              <w:rPr>
                <w:rFonts w:asciiTheme="minorHAnsi" w:hAnsiTheme="minorHAnsi" w:cstheme="minorHAnsi"/>
                <w:b/>
                <w:sz w:val="16"/>
                <w:szCs w:val="20"/>
                <w:lang w:eastAsia="es-MX"/>
              </w:rPr>
              <w:t>VARIABLES</w:t>
            </w:r>
          </w:p>
        </w:tc>
      </w:tr>
      <w:tr w:rsidR="0052430E" w:rsidRPr="0052430E" w:rsidTr="00020648">
        <w:trPr>
          <w:trHeight w:val="315"/>
        </w:trPr>
        <w:tc>
          <w:tcPr>
            <w:tcW w:w="1599" w:type="pct"/>
            <w:shd w:val="clear" w:color="auto" w:fill="auto"/>
            <w:noWrap/>
            <w:hideMark/>
          </w:tcPr>
          <w:p w:rsidR="00020648" w:rsidRPr="0052430E" w:rsidRDefault="00020648" w:rsidP="00080892">
            <w:pPr>
              <w:rPr>
                <w:rFonts w:asciiTheme="minorHAnsi" w:hAnsiTheme="minorHAnsi" w:cstheme="minorHAnsi"/>
                <w:sz w:val="16"/>
                <w:szCs w:val="20"/>
                <w:lang w:eastAsia="es-MX"/>
              </w:rPr>
            </w:pPr>
          </w:p>
          <w:p w:rsidR="00020648" w:rsidRPr="0052430E" w:rsidRDefault="00020648" w:rsidP="00080892">
            <w:pPr>
              <w:rPr>
                <w:rFonts w:asciiTheme="minorHAnsi" w:hAnsiTheme="minorHAnsi" w:cstheme="minorHAnsi"/>
                <w:sz w:val="16"/>
                <w:szCs w:val="20"/>
                <w:lang w:eastAsia="es-MX"/>
              </w:rPr>
            </w:pPr>
            <w:r w:rsidRPr="0052430E">
              <w:rPr>
                <w:rFonts w:asciiTheme="minorHAnsi" w:hAnsiTheme="minorHAnsi" w:cstheme="minorHAnsi"/>
                <w:sz w:val="16"/>
                <w:szCs w:val="20"/>
                <w:lang w:eastAsia="es-MX"/>
              </w:rPr>
              <w:t>INDIVIDUAL</w:t>
            </w:r>
          </w:p>
        </w:tc>
        <w:tc>
          <w:tcPr>
            <w:tcW w:w="3401" w:type="pct"/>
            <w:shd w:val="clear" w:color="auto" w:fill="auto"/>
            <w:noWrap/>
            <w:vAlign w:val="center"/>
            <w:hideMark/>
          </w:tcPr>
          <w:p w:rsidR="00020648" w:rsidRPr="0052430E" w:rsidRDefault="00020648" w:rsidP="00080892">
            <w:pPr>
              <w:jc w:val="both"/>
              <w:rPr>
                <w:rFonts w:asciiTheme="minorHAnsi" w:hAnsiTheme="minorHAnsi" w:cstheme="minorHAnsi"/>
                <w:sz w:val="16"/>
                <w:szCs w:val="20"/>
                <w:lang w:eastAsia="es-MX"/>
              </w:rPr>
            </w:pPr>
            <w:r w:rsidRPr="0052430E">
              <w:rPr>
                <w:rFonts w:asciiTheme="minorHAnsi" w:hAnsiTheme="minorHAnsi" w:cstheme="minorHAnsi"/>
                <w:sz w:val="16"/>
                <w:szCs w:val="20"/>
                <w:lang w:eastAsia="es-MX"/>
              </w:rPr>
              <w:t>Género, Estructura familiar (con quien vive, personas a cargo, posición), Habilidad Académica, Relación con los padres, Edad, Grado de retención - acumulación de créditos, Actitud y comportamiento, Previa deserción y Compromiso.</w:t>
            </w:r>
          </w:p>
        </w:tc>
      </w:tr>
      <w:tr w:rsidR="0052430E" w:rsidRPr="0052430E" w:rsidTr="00020648">
        <w:trPr>
          <w:trHeight w:val="300"/>
        </w:trPr>
        <w:tc>
          <w:tcPr>
            <w:tcW w:w="1599" w:type="pct"/>
            <w:shd w:val="clear" w:color="auto" w:fill="auto"/>
            <w:noWrap/>
            <w:hideMark/>
          </w:tcPr>
          <w:p w:rsidR="00020648" w:rsidRPr="0052430E" w:rsidRDefault="00020648" w:rsidP="00080892">
            <w:pPr>
              <w:rPr>
                <w:rFonts w:asciiTheme="minorHAnsi" w:hAnsiTheme="minorHAnsi" w:cstheme="minorHAnsi"/>
                <w:sz w:val="16"/>
                <w:szCs w:val="20"/>
                <w:lang w:eastAsia="es-MX"/>
              </w:rPr>
            </w:pPr>
          </w:p>
          <w:p w:rsidR="00020648" w:rsidRPr="0052430E" w:rsidRDefault="00020648" w:rsidP="00080892">
            <w:pPr>
              <w:rPr>
                <w:rFonts w:asciiTheme="minorHAnsi" w:hAnsiTheme="minorHAnsi" w:cstheme="minorHAnsi"/>
                <w:sz w:val="16"/>
                <w:szCs w:val="20"/>
                <w:lang w:eastAsia="es-MX"/>
              </w:rPr>
            </w:pPr>
            <w:r w:rsidRPr="0052430E">
              <w:rPr>
                <w:rFonts w:asciiTheme="minorHAnsi" w:hAnsiTheme="minorHAnsi" w:cstheme="minorHAnsi"/>
                <w:sz w:val="16"/>
                <w:szCs w:val="20"/>
                <w:lang w:eastAsia="es-MX"/>
              </w:rPr>
              <w:t>ACADÉMICO</w:t>
            </w:r>
          </w:p>
        </w:tc>
        <w:tc>
          <w:tcPr>
            <w:tcW w:w="3401" w:type="pct"/>
            <w:shd w:val="clear" w:color="auto" w:fill="auto"/>
            <w:noWrap/>
            <w:vAlign w:val="center"/>
            <w:hideMark/>
          </w:tcPr>
          <w:p w:rsidR="00020648" w:rsidRPr="0052430E" w:rsidRDefault="00020648" w:rsidP="00080892">
            <w:pPr>
              <w:jc w:val="both"/>
              <w:rPr>
                <w:rFonts w:asciiTheme="minorHAnsi" w:hAnsiTheme="minorHAnsi" w:cstheme="minorHAnsi"/>
                <w:sz w:val="16"/>
                <w:szCs w:val="20"/>
                <w:lang w:eastAsia="es-MX"/>
              </w:rPr>
            </w:pPr>
            <w:r w:rsidRPr="0052430E">
              <w:rPr>
                <w:rFonts w:asciiTheme="minorHAnsi" w:hAnsiTheme="minorHAnsi" w:cstheme="minorHAnsi"/>
                <w:sz w:val="16"/>
                <w:szCs w:val="20"/>
                <w:lang w:eastAsia="es-MX"/>
              </w:rPr>
              <w:t>Rendimiento Académico, Satisfacción con el programa (expectativas), Calidad del programa, Orientación profesional y Desarrollo intelectual.</w:t>
            </w:r>
          </w:p>
        </w:tc>
      </w:tr>
      <w:tr w:rsidR="0052430E" w:rsidRPr="0052430E" w:rsidTr="00020648">
        <w:trPr>
          <w:trHeight w:val="300"/>
        </w:trPr>
        <w:tc>
          <w:tcPr>
            <w:tcW w:w="1599" w:type="pct"/>
            <w:shd w:val="clear" w:color="auto" w:fill="auto"/>
            <w:noWrap/>
            <w:hideMark/>
          </w:tcPr>
          <w:p w:rsidR="00020648" w:rsidRPr="0052430E" w:rsidRDefault="00020648" w:rsidP="00080892">
            <w:pPr>
              <w:rPr>
                <w:rFonts w:asciiTheme="minorHAnsi" w:hAnsiTheme="minorHAnsi" w:cstheme="minorHAnsi"/>
                <w:sz w:val="16"/>
                <w:szCs w:val="20"/>
                <w:lang w:eastAsia="es-MX"/>
              </w:rPr>
            </w:pPr>
          </w:p>
          <w:p w:rsidR="00020648" w:rsidRPr="0052430E" w:rsidRDefault="00020648" w:rsidP="00080892">
            <w:pPr>
              <w:rPr>
                <w:rFonts w:asciiTheme="minorHAnsi" w:hAnsiTheme="minorHAnsi" w:cstheme="minorHAnsi"/>
                <w:sz w:val="16"/>
                <w:szCs w:val="20"/>
                <w:lang w:eastAsia="es-MX"/>
              </w:rPr>
            </w:pPr>
            <w:r w:rsidRPr="0052430E">
              <w:rPr>
                <w:rFonts w:asciiTheme="minorHAnsi" w:hAnsiTheme="minorHAnsi" w:cstheme="minorHAnsi"/>
                <w:sz w:val="16"/>
                <w:szCs w:val="20"/>
                <w:lang w:eastAsia="es-MX"/>
              </w:rPr>
              <w:t>INSTITUCIONAL</w:t>
            </w:r>
          </w:p>
        </w:tc>
        <w:tc>
          <w:tcPr>
            <w:tcW w:w="3401" w:type="pct"/>
            <w:shd w:val="clear" w:color="auto" w:fill="auto"/>
            <w:noWrap/>
            <w:vAlign w:val="center"/>
            <w:hideMark/>
          </w:tcPr>
          <w:p w:rsidR="00020648" w:rsidRPr="0052430E" w:rsidRDefault="00020648" w:rsidP="00080892">
            <w:pPr>
              <w:jc w:val="both"/>
              <w:rPr>
                <w:rFonts w:asciiTheme="minorHAnsi" w:hAnsiTheme="minorHAnsi" w:cstheme="minorHAnsi"/>
                <w:sz w:val="16"/>
                <w:szCs w:val="20"/>
                <w:lang w:eastAsia="es-MX"/>
              </w:rPr>
            </w:pPr>
            <w:r w:rsidRPr="0052430E">
              <w:rPr>
                <w:rFonts w:asciiTheme="minorHAnsi" w:hAnsiTheme="minorHAnsi" w:cstheme="minorHAnsi"/>
                <w:sz w:val="16"/>
                <w:szCs w:val="20"/>
                <w:lang w:eastAsia="es-MX"/>
              </w:rPr>
              <w:t>Recursos Universitarios, Becas Y Formas De Financiamiento, Tipo De Universidad, Normativas Académica, Nivel De Interacción Personal Con Los Profesores Y Estudiantes y Clima social y académico.</w:t>
            </w:r>
          </w:p>
        </w:tc>
      </w:tr>
      <w:tr w:rsidR="00020648" w:rsidRPr="0052430E" w:rsidTr="00020648">
        <w:trPr>
          <w:trHeight w:val="300"/>
        </w:trPr>
        <w:tc>
          <w:tcPr>
            <w:tcW w:w="1599" w:type="pct"/>
            <w:shd w:val="clear" w:color="auto" w:fill="auto"/>
            <w:noWrap/>
            <w:hideMark/>
          </w:tcPr>
          <w:p w:rsidR="00020648" w:rsidRPr="0052430E" w:rsidRDefault="00020648" w:rsidP="00080892">
            <w:pPr>
              <w:rPr>
                <w:rFonts w:asciiTheme="minorHAnsi" w:hAnsiTheme="minorHAnsi" w:cstheme="minorHAnsi"/>
                <w:sz w:val="16"/>
                <w:szCs w:val="20"/>
                <w:lang w:eastAsia="es-MX"/>
              </w:rPr>
            </w:pPr>
          </w:p>
          <w:p w:rsidR="00020648" w:rsidRPr="0052430E" w:rsidRDefault="00020648" w:rsidP="00080892">
            <w:pPr>
              <w:rPr>
                <w:rFonts w:asciiTheme="minorHAnsi" w:hAnsiTheme="minorHAnsi" w:cstheme="minorHAnsi"/>
                <w:sz w:val="16"/>
                <w:szCs w:val="20"/>
                <w:lang w:eastAsia="es-MX"/>
              </w:rPr>
            </w:pPr>
            <w:r w:rsidRPr="0052430E">
              <w:rPr>
                <w:rFonts w:asciiTheme="minorHAnsi" w:hAnsiTheme="minorHAnsi" w:cstheme="minorHAnsi"/>
                <w:sz w:val="16"/>
                <w:szCs w:val="20"/>
                <w:lang w:eastAsia="es-MX"/>
              </w:rPr>
              <w:t>SOCIO</w:t>
            </w:r>
          </w:p>
          <w:p w:rsidR="00020648" w:rsidRPr="0052430E" w:rsidRDefault="00020648" w:rsidP="00080892">
            <w:pPr>
              <w:rPr>
                <w:rFonts w:asciiTheme="minorHAnsi" w:hAnsiTheme="minorHAnsi" w:cstheme="minorHAnsi"/>
                <w:sz w:val="16"/>
                <w:szCs w:val="20"/>
                <w:lang w:eastAsia="es-MX"/>
              </w:rPr>
            </w:pPr>
            <w:r w:rsidRPr="0052430E">
              <w:rPr>
                <w:rFonts w:asciiTheme="minorHAnsi" w:hAnsiTheme="minorHAnsi" w:cstheme="minorHAnsi"/>
                <w:sz w:val="16"/>
                <w:szCs w:val="20"/>
                <w:lang w:eastAsia="es-MX"/>
              </w:rPr>
              <w:t>ECONÓMICO</w:t>
            </w:r>
          </w:p>
        </w:tc>
        <w:tc>
          <w:tcPr>
            <w:tcW w:w="3401" w:type="pct"/>
            <w:shd w:val="clear" w:color="auto" w:fill="auto"/>
            <w:noWrap/>
            <w:vAlign w:val="center"/>
            <w:hideMark/>
          </w:tcPr>
          <w:p w:rsidR="00020648" w:rsidRPr="0052430E" w:rsidRDefault="00020648" w:rsidP="00080892">
            <w:pPr>
              <w:jc w:val="both"/>
              <w:rPr>
                <w:rFonts w:asciiTheme="minorHAnsi" w:hAnsiTheme="minorHAnsi" w:cstheme="minorHAnsi"/>
                <w:sz w:val="16"/>
                <w:szCs w:val="20"/>
                <w:lang w:eastAsia="es-MX"/>
              </w:rPr>
            </w:pPr>
            <w:r w:rsidRPr="0052430E">
              <w:rPr>
                <w:rFonts w:asciiTheme="minorHAnsi" w:hAnsiTheme="minorHAnsi" w:cstheme="minorHAnsi"/>
                <w:sz w:val="16"/>
                <w:szCs w:val="20"/>
                <w:lang w:eastAsia="es-MX"/>
              </w:rPr>
              <w:t>Nivel Educativo De Los Padres, Estrato (Estado socioeconómico) y Situación Laboral de Los Padres e Ingresos.</w:t>
            </w:r>
          </w:p>
        </w:tc>
      </w:tr>
    </w:tbl>
    <w:p w:rsidR="00020648" w:rsidRPr="0052430E" w:rsidRDefault="00020648" w:rsidP="004B0463">
      <w:pPr>
        <w:jc w:val="both"/>
        <w:rPr>
          <w:rFonts w:ascii="Arial" w:hAnsi="Arial" w:cs="Arial"/>
          <w:sz w:val="22"/>
          <w:szCs w:val="22"/>
        </w:rPr>
      </w:pPr>
    </w:p>
    <w:p w:rsidR="007C363D" w:rsidRPr="0052430E" w:rsidRDefault="007C363D" w:rsidP="007C363D">
      <w:pPr>
        <w:jc w:val="both"/>
        <w:rPr>
          <w:rFonts w:ascii="Arial" w:hAnsi="Arial" w:cs="Arial"/>
          <w:sz w:val="22"/>
          <w:szCs w:val="22"/>
        </w:rPr>
      </w:pPr>
      <w:r w:rsidRPr="0052430E">
        <w:rPr>
          <w:rFonts w:ascii="Arial" w:hAnsi="Arial" w:cs="Arial"/>
          <w:sz w:val="22"/>
          <w:szCs w:val="22"/>
        </w:rPr>
        <w:t>4.3 Factor Institucional</w:t>
      </w:r>
    </w:p>
    <w:p w:rsidR="007C363D" w:rsidRPr="0052430E" w:rsidRDefault="007C363D" w:rsidP="007C363D">
      <w:pPr>
        <w:jc w:val="both"/>
        <w:rPr>
          <w:rFonts w:ascii="Arial" w:hAnsi="Arial" w:cs="Arial"/>
          <w:sz w:val="22"/>
          <w:szCs w:val="22"/>
        </w:rPr>
      </w:pPr>
    </w:p>
    <w:p w:rsidR="007C363D" w:rsidRPr="0052430E" w:rsidRDefault="007C363D" w:rsidP="007C363D">
      <w:pPr>
        <w:jc w:val="both"/>
        <w:rPr>
          <w:rFonts w:ascii="Arial" w:hAnsi="Arial" w:cs="Arial"/>
          <w:sz w:val="22"/>
          <w:szCs w:val="22"/>
        </w:rPr>
      </w:pPr>
      <w:r w:rsidRPr="0052430E">
        <w:rPr>
          <w:rFonts w:ascii="Arial" w:hAnsi="Arial" w:cs="Arial"/>
          <w:sz w:val="22"/>
          <w:szCs w:val="22"/>
        </w:rPr>
        <w:t>En el caso del Factor Institucional, se priorizaron como variables independientes: recursos universitarios, becas y formas de financiamiento, tipo de universidad, normativas académicas, nivel de interacción personal con los profesores y estudiantes y clima social y académico, es decir que se evidencia que las variables experiencia de los docentes, tamaño de los grupos y proporción docente – estudiante, están correlacionadas con los recursos universitarios  y normas académicas con que cuenta la Institución, la variable características estructurales dependen del tipo de universidad.</w:t>
      </w:r>
    </w:p>
    <w:p w:rsidR="007C363D" w:rsidRPr="0052430E" w:rsidRDefault="007C363D" w:rsidP="007C363D">
      <w:pPr>
        <w:jc w:val="both"/>
        <w:rPr>
          <w:rFonts w:ascii="Arial" w:hAnsi="Arial" w:cs="Arial"/>
          <w:sz w:val="22"/>
          <w:szCs w:val="22"/>
        </w:rPr>
      </w:pPr>
    </w:p>
    <w:p w:rsidR="007C363D" w:rsidRPr="0052430E" w:rsidRDefault="007C363D" w:rsidP="007C363D">
      <w:pPr>
        <w:jc w:val="both"/>
        <w:rPr>
          <w:rFonts w:ascii="Arial" w:hAnsi="Arial" w:cs="Arial"/>
          <w:sz w:val="22"/>
          <w:szCs w:val="22"/>
        </w:rPr>
      </w:pPr>
      <w:r w:rsidRPr="0052430E">
        <w:rPr>
          <w:rFonts w:ascii="Arial" w:hAnsi="Arial" w:cs="Arial"/>
          <w:sz w:val="22"/>
          <w:szCs w:val="22"/>
        </w:rPr>
        <w:t xml:space="preserve">4.4 Factor socioeconómico </w:t>
      </w:r>
    </w:p>
    <w:p w:rsidR="007C363D" w:rsidRPr="0052430E" w:rsidRDefault="007C363D" w:rsidP="007C363D">
      <w:pPr>
        <w:jc w:val="both"/>
        <w:rPr>
          <w:rFonts w:ascii="Arial" w:hAnsi="Arial" w:cs="Arial"/>
          <w:sz w:val="22"/>
          <w:szCs w:val="22"/>
        </w:rPr>
      </w:pPr>
    </w:p>
    <w:p w:rsidR="00922F4B" w:rsidRPr="0052430E" w:rsidRDefault="007C363D" w:rsidP="007C363D">
      <w:pPr>
        <w:jc w:val="both"/>
        <w:rPr>
          <w:rFonts w:ascii="Arial" w:hAnsi="Arial" w:cs="Arial"/>
          <w:sz w:val="22"/>
          <w:szCs w:val="22"/>
        </w:rPr>
      </w:pPr>
      <w:r w:rsidRPr="0052430E">
        <w:rPr>
          <w:rFonts w:ascii="Arial" w:hAnsi="Arial" w:cs="Arial"/>
          <w:sz w:val="22"/>
          <w:szCs w:val="22"/>
        </w:rPr>
        <w:t xml:space="preserve">Para el Factor Socioeconómico podemos observar que las variables independientes seleccionadas son: Nivel educativo de los padres, estrato, situación laboral de los padres e ingresos, ya que las variables situación laboral, amigos, características del barrio y la situación geográfica de la residencia, dependen del estrato del estudiante, así mismo, las variables profesión de los padres y apoyo económico </w:t>
      </w:r>
      <w:r w:rsidRPr="0052430E">
        <w:rPr>
          <w:rFonts w:ascii="Arial" w:hAnsi="Arial" w:cs="Arial"/>
          <w:sz w:val="22"/>
          <w:szCs w:val="22"/>
        </w:rPr>
        <w:lastRenderedPageBreak/>
        <w:t>dependen del nivel educativo de los padres y la situación laboral.</w:t>
      </w:r>
    </w:p>
    <w:p w:rsidR="007C363D" w:rsidRPr="0052430E" w:rsidRDefault="007C363D" w:rsidP="007C363D">
      <w:pPr>
        <w:jc w:val="both"/>
        <w:rPr>
          <w:rFonts w:ascii="Arial" w:hAnsi="Arial" w:cs="Arial"/>
          <w:sz w:val="22"/>
          <w:szCs w:val="22"/>
        </w:rPr>
      </w:pPr>
    </w:p>
    <w:p w:rsidR="000039AC" w:rsidRPr="0052430E" w:rsidRDefault="000039AC" w:rsidP="000039AC">
      <w:pPr>
        <w:rPr>
          <w:rFonts w:ascii="Arial" w:hAnsi="Arial" w:cs="Arial"/>
          <w:b/>
          <w:sz w:val="22"/>
          <w:szCs w:val="22"/>
        </w:rPr>
      </w:pPr>
      <w:r w:rsidRPr="0052430E">
        <w:rPr>
          <w:rFonts w:ascii="Arial" w:hAnsi="Arial" w:cs="Arial"/>
          <w:b/>
          <w:sz w:val="22"/>
          <w:szCs w:val="22"/>
        </w:rPr>
        <w:t>5. Conclusiones</w:t>
      </w:r>
    </w:p>
    <w:p w:rsidR="000039AC" w:rsidRPr="0052430E" w:rsidRDefault="000039AC" w:rsidP="000039AC">
      <w:pPr>
        <w:jc w:val="both"/>
        <w:rPr>
          <w:rFonts w:ascii="Arial" w:hAnsi="Arial" w:cs="Arial"/>
          <w:sz w:val="20"/>
          <w:szCs w:val="20"/>
        </w:rPr>
      </w:pPr>
    </w:p>
    <w:p w:rsidR="000039AC" w:rsidRPr="0052430E" w:rsidRDefault="000039AC" w:rsidP="000039AC">
      <w:pPr>
        <w:jc w:val="both"/>
        <w:rPr>
          <w:rFonts w:ascii="Arial" w:hAnsi="Arial" w:cs="Arial"/>
          <w:sz w:val="22"/>
          <w:szCs w:val="22"/>
        </w:rPr>
      </w:pPr>
      <w:r w:rsidRPr="0052430E">
        <w:rPr>
          <w:rFonts w:ascii="Arial" w:hAnsi="Arial" w:cs="Arial"/>
          <w:sz w:val="22"/>
          <w:szCs w:val="22"/>
        </w:rPr>
        <w:t>A partir de la revisión de la literatura y el uso de una herramienta de decisión se priorizaron las variables consideradas en los factores asociados a la deserción. Esta priorización será la base en el diseño un modelo de deserción propio de gestión integral de la deserción en Educación en Ingeniería.</w:t>
      </w:r>
    </w:p>
    <w:p w:rsidR="000039AC" w:rsidRPr="0052430E" w:rsidRDefault="000039AC" w:rsidP="000039AC">
      <w:pPr>
        <w:jc w:val="both"/>
        <w:rPr>
          <w:rFonts w:ascii="Arial" w:hAnsi="Arial" w:cs="Arial"/>
          <w:sz w:val="20"/>
          <w:szCs w:val="20"/>
        </w:rPr>
      </w:pPr>
    </w:p>
    <w:p w:rsidR="000039AC" w:rsidRPr="0052430E" w:rsidRDefault="000039AC" w:rsidP="000039AC">
      <w:pPr>
        <w:jc w:val="both"/>
        <w:rPr>
          <w:rFonts w:ascii="Arial" w:hAnsi="Arial" w:cs="Arial"/>
          <w:sz w:val="22"/>
          <w:szCs w:val="22"/>
        </w:rPr>
      </w:pPr>
      <w:r w:rsidRPr="0052430E">
        <w:rPr>
          <w:rFonts w:ascii="Arial" w:hAnsi="Arial" w:cs="Arial"/>
          <w:sz w:val="22"/>
          <w:szCs w:val="22"/>
        </w:rPr>
        <w:t xml:space="preserve">De los conceptos de deserción estudiados se observa que todos coinciden en que la deserción es el abandono de los estudios por parte del individuo o la prolongación del tiempo establecido para realizarlos, como resultado de la interacción de variables asociadas con los factores: individual, institucional, académico y social. </w:t>
      </w:r>
    </w:p>
    <w:p w:rsidR="000039AC" w:rsidRPr="0052430E" w:rsidRDefault="000039AC" w:rsidP="000039AC">
      <w:pPr>
        <w:jc w:val="both"/>
        <w:rPr>
          <w:rFonts w:ascii="Arial" w:hAnsi="Arial" w:cs="Arial"/>
          <w:sz w:val="22"/>
          <w:szCs w:val="22"/>
        </w:rPr>
      </w:pPr>
    </w:p>
    <w:p w:rsidR="000039AC" w:rsidRPr="0052430E" w:rsidRDefault="000039AC" w:rsidP="000039AC">
      <w:pPr>
        <w:jc w:val="both"/>
        <w:rPr>
          <w:rFonts w:ascii="Arial" w:hAnsi="Arial" w:cs="Arial"/>
          <w:sz w:val="22"/>
          <w:szCs w:val="22"/>
        </w:rPr>
      </w:pPr>
      <w:r w:rsidRPr="0052430E">
        <w:rPr>
          <w:rFonts w:ascii="Arial" w:hAnsi="Arial" w:cs="Arial"/>
          <w:sz w:val="22"/>
          <w:szCs w:val="22"/>
        </w:rPr>
        <w:t>Igualmente, se observa un cambio en los modelos de análisis utilizados iniciando por los modelos psicológicos, económicos y organizacionales, para posteriormente pasar a los modelos de integración, y llegar a los modelos combinados de los modelos de integración.</w:t>
      </w:r>
    </w:p>
    <w:p w:rsidR="000039AC" w:rsidRPr="0052430E" w:rsidRDefault="000039AC" w:rsidP="000039AC">
      <w:pPr>
        <w:jc w:val="both"/>
        <w:rPr>
          <w:rFonts w:ascii="Arial" w:hAnsi="Arial" w:cs="Arial"/>
          <w:sz w:val="20"/>
          <w:szCs w:val="20"/>
        </w:rPr>
      </w:pPr>
    </w:p>
    <w:p w:rsidR="000039AC" w:rsidRPr="0052430E" w:rsidRDefault="000039AC" w:rsidP="000039AC">
      <w:pPr>
        <w:jc w:val="both"/>
        <w:rPr>
          <w:rFonts w:ascii="Arial" w:hAnsi="Arial" w:cs="Arial"/>
          <w:sz w:val="22"/>
          <w:szCs w:val="22"/>
        </w:rPr>
      </w:pPr>
      <w:r w:rsidRPr="0052430E">
        <w:rPr>
          <w:rFonts w:ascii="Arial" w:hAnsi="Arial" w:cs="Arial"/>
          <w:sz w:val="22"/>
          <w:szCs w:val="22"/>
        </w:rPr>
        <w:t>La priorización de las variables asociadas a los diferentes factores de deserción, se constituye en una base fundamental  para la construcción de modelos de gestión de deserción fundamentado en el proceso académico de los estudiantes. En el modelo se definirán indicadores de entrada y de salida que permiten retroalimentar el sistema, con el fin de gestionar el fenómeno de la deserción y así contribuir con la disminución de los niveles de deserción.</w:t>
      </w:r>
    </w:p>
    <w:p w:rsidR="00850906" w:rsidRPr="0052430E" w:rsidRDefault="00850906" w:rsidP="000039AC">
      <w:pPr>
        <w:jc w:val="center"/>
        <w:rPr>
          <w:rFonts w:ascii="Arial" w:hAnsi="Arial" w:cs="Arial"/>
          <w:b/>
          <w:sz w:val="22"/>
          <w:szCs w:val="22"/>
        </w:rPr>
      </w:pPr>
    </w:p>
    <w:p w:rsidR="000039AC" w:rsidRPr="0052430E" w:rsidRDefault="000039AC" w:rsidP="000039AC">
      <w:pPr>
        <w:rPr>
          <w:rFonts w:ascii="Arial" w:hAnsi="Arial" w:cs="Arial"/>
          <w:b/>
          <w:sz w:val="22"/>
          <w:szCs w:val="22"/>
        </w:rPr>
      </w:pPr>
      <w:r w:rsidRPr="0052430E">
        <w:rPr>
          <w:rFonts w:ascii="Arial" w:hAnsi="Arial" w:cs="Arial"/>
          <w:b/>
          <w:sz w:val="22"/>
          <w:szCs w:val="22"/>
        </w:rPr>
        <w:t>6. Referencias</w:t>
      </w:r>
    </w:p>
    <w:p w:rsidR="000039AC" w:rsidRPr="0052430E" w:rsidRDefault="000039AC" w:rsidP="000039AC">
      <w:pPr>
        <w:jc w:val="both"/>
        <w:rPr>
          <w:rFonts w:ascii="Arial" w:hAnsi="Arial" w:cs="Arial"/>
          <w:sz w:val="22"/>
          <w:szCs w:val="22"/>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Abarca, A., &amp; Sanchez, M. (2005). La Desersion Estudiantil en la Educación Superior: El caso de la Universidad de Costa Rica. </w:t>
      </w:r>
      <w:r w:rsidRPr="00793208">
        <w:rPr>
          <w:rFonts w:ascii="Arial" w:hAnsi="Arial" w:cs="Arial"/>
          <w:i/>
          <w:noProof/>
          <w:sz w:val="22"/>
          <w:szCs w:val="20"/>
        </w:rPr>
        <w:t xml:space="preserve">Revista Electrónica </w:t>
      </w:r>
      <w:r w:rsidRPr="00793208">
        <w:rPr>
          <w:rFonts w:ascii="Arial" w:hAnsi="Arial" w:cs="Arial"/>
          <w:i/>
          <w:noProof/>
          <w:sz w:val="22"/>
          <w:szCs w:val="20"/>
        </w:rPr>
        <w:lastRenderedPageBreak/>
        <w:t>"Actualidades Investigativas en Educación"</w:t>
      </w:r>
      <w:r w:rsidRPr="00793208">
        <w:rPr>
          <w:rFonts w:ascii="Arial" w:hAnsi="Arial" w:cs="Arial"/>
          <w:noProof/>
          <w:sz w:val="22"/>
          <w:szCs w:val="20"/>
        </w:rPr>
        <w:t>, 5 (1), 1-22.</w:t>
      </w:r>
    </w:p>
    <w:p w:rsidR="00793208" w:rsidRPr="00793208" w:rsidRDefault="00793208" w:rsidP="00793208">
      <w:pPr>
        <w:rPr>
          <w:sz w:val="28"/>
        </w:rPr>
      </w:pPr>
    </w:p>
    <w:p w:rsidR="00793208" w:rsidRPr="00793208" w:rsidRDefault="00793208" w:rsidP="00793208">
      <w:pPr>
        <w:pStyle w:val="Bibliografa"/>
        <w:jc w:val="both"/>
        <w:rPr>
          <w:rFonts w:ascii="Arial" w:hAnsi="Arial" w:cs="Arial"/>
          <w:noProof/>
          <w:sz w:val="22"/>
          <w:szCs w:val="20"/>
          <w:lang w:val="en-US"/>
        </w:rPr>
      </w:pPr>
      <w:r w:rsidRPr="00793208">
        <w:rPr>
          <w:rFonts w:ascii="Arial" w:hAnsi="Arial" w:cs="Arial"/>
          <w:noProof/>
          <w:sz w:val="22"/>
          <w:szCs w:val="20"/>
        </w:rPr>
        <w:t xml:space="preserve">Al- Ghanboosi, S. S., &amp; Alqahtani, A. A. (2013). </w:t>
      </w:r>
      <w:r w:rsidRPr="00793208">
        <w:rPr>
          <w:rFonts w:ascii="Arial" w:hAnsi="Arial" w:cs="Arial"/>
          <w:noProof/>
          <w:sz w:val="22"/>
          <w:szCs w:val="20"/>
          <w:lang w:val="en-US"/>
        </w:rPr>
        <w:t xml:space="preserve">Student Drop-Out Trends At Sultan Qaboos. </w:t>
      </w:r>
      <w:r w:rsidRPr="00793208">
        <w:rPr>
          <w:rFonts w:ascii="Arial" w:hAnsi="Arial" w:cs="Arial"/>
          <w:i/>
          <w:iCs/>
          <w:noProof/>
          <w:sz w:val="22"/>
          <w:szCs w:val="20"/>
          <w:lang w:val="en-US"/>
        </w:rPr>
        <w:t>College Student Journal, 47 (3)</w:t>
      </w:r>
      <w:r w:rsidRPr="00793208">
        <w:rPr>
          <w:rFonts w:ascii="Arial" w:hAnsi="Arial" w:cs="Arial"/>
          <w:noProof/>
          <w:sz w:val="22"/>
          <w:szCs w:val="20"/>
          <w:lang w:val="en-US"/>
        </w:rPr>
        <w:t>. Recuperado de http://www.questia.com/library/p1917/college-student-journal/i3487843/vol-47-no-3-september.</w:t>
      </w:r>
    </w:p>
    <w:p w:rsidR="00793208" w:rsidRPr="00793208" w:rsidRDefault="00793208" w:rsidP="00793208">
      <w:pPr>
        <w:shd w:val="clear" w:color="auto" w:fill="FFFFFF" w:themeFill="background1"/>
        <w:jc w:val="both"/>
        <w:rPr>
          <w:rFonts w:ascii="Arial" w:hAnsi="Arial" w:cs="Arial"/>
          <w:sz w:val="22"/>
          <w:szCs w:val="20"/>
          <w:lang w:val="en-US"/>
        </w:rPr>
      </w:pPr>
    </w:p>
    <w:p w:rsidR="00793208" w:rsidRPr="00793208" w:rsidRDefault="00793208" w:rsidP="00793208">
      <w:pPr>
        <w:pStyle w:val="Bibliografa"/>
        <w:shd w:val="clear" w:color="auto" w:fill="FFFFFF" w:themeFill="background1"/>
        <w:jc w:val="both"/>
        <w:rPr>
          <w:rFonts w:ascii="Arial" w:hAnsi="Arial" w:cs="Arial"/>
          <w:noProof/>
          <w:sz w:val="22"/>
          <w:szCs w:val="20"/>
        </w:rPr>
      </w:pPr>
      <w:r w:rsidRPr="00793208">
        <w:rPr>
          <w:rFonts w:ascii="Arial" w:hAnsi="Arial" w:cs="Arial"/>
          <w:sz w:val="22"/>
          <w:szCs w:val="20"/>
          <w:lang w:val="en-US"/>
        </w:rPr>
        <w:fldChar w:fldCharType="begin"/>
      </w:r>
      <w:r w:rsidRPr="00793208">
        <w:rPr>
          <w:rFonts w:ascii="Arial" w:hAnsi="Arial" w:cs="Arial"/>
          <w:sz w:val="22"/>
          <w:szCs w:val="20"/>
          <w:lang w:val="es-MX"/>
        </w:rPr>
        <w:instrText xml:space="preserve"> BIBLIOGRAPHY  \l 2058 </w:instrText>
      </w:r>
      <w:r w:rsidRPr="00793208">
        <w:rPr>
          <w:rFonts w:ascii="Arial" w:hAnsi="Arial" w:cs="Arial"/>
          <w:sz w:val="22"/>
          <w:szCs w:val="20"/>
          <w:lang w:val="en-US"/>
        </w:rPr>
        <w:fldChar w:fldCharType="separate"/>
      </w:r>
      <w:r w:rsidRPr="00793208">
        <w:rPr>
          <w:rFonts w:ascii="Arial" w:hAnsi="Arial" w:cs="Arial"/>
          <w:noProof/>
          <w:sz w:val="22"/>
          <w:szCs w:val="20"/>
        </w:rPr>
        <w:t>Barrios, A.</w:t>
      </w:r>
      <w:r w:rsidRPr="00793208">
        <w:rPr>
          <w:rFonts w:ascii="Arial" w:hAnsi="Arial" w:cs="Arial"/>
          <w:noProof/>
          <w:sz w:val="22"/>
          <w:szCs w:val="20"/>
          <w:shd w:val="clear" w:color="auto" w:fill="FFFFFF" w:themeFill="background1"/>
        </w:rPr>
        <w:t xml:space="preserve"> (2011). </w:t>
      </w:r>
      <w:r w:rsidRPr="00793208">
        <w:rPr>
          <w:rFonts w:ascii="Arial" w:hAnsi="Arial" w:cs="Arial"/>
          <w:noProof/>
          <w:sz w:val="22"/>
          <w:szCs w:val="20"/>
        </w:rPr>
        <w:t xml:space="preserve">Deserción universitaria en Chile:Incidencia del financiamiento y otros factores asociados. </w:t>
      </w:r>
      <w:r w:rsidRPr="00793208">
        <w:rPr>
          <w:rFonts w:ascii="Arial" w:hAnsi="Arial" w:cs="Arial"/>
          <w:i/>
          <w:iCs/>
          <w:noProof/>
          <w:sz w:val="22"/>
          <w:szCs w:val="20"/>
        </w:rPr>
        <w:t>Revista del centro de investigación social de un Techo para Chile</w:t>
      </w:r>
      <w:r w:rsidRPr="00793208">
        <w:rPr>
          <w:rFonts w:ascii="Arial" w:hAnsi="Arial" w:cs="Arial"/>
          <w:noProof/>
          <w:sz w:val="22"/>
          <w:szCs w:val="20"/>
        </w:rPr>
        <w:t>, 14(</w:t>
      </w:r>
      <w:r w:rsidRPr="00793208">
        <w:rPr>
          <w:rFonts w:ascii="Arial" w:hAnsi="Arial" w:cs="Arial"/>
          <w:noProof/>
          <w:sz w:val="22"/>
          <w:szCs w:val="20"/>
          <w:shd w:val="clear" w:color="auto" w:fill="FFFFFF" w:themeFill="background1"/>
        </w:rPr>
        <w:t>1), 5</w:t>
      </w:r>
      <w:r w:rsidRPr="00793208">
        <w:rPr>
          <w:rFonts w:ascii="Arial" w:hAnsi="Arial" w:cs="Arial"/>
          <w:noProof/>
          <w:sz w:val="22"/>
          <w:szCs w:val="20"/>
        </w:rPr>
        <w:t>9-72.</w:t>
      </w:r>
    </w:p>
    <w:p w:rsidR="00793208" w:rsidRPr="00793208" w:rsidRDefault="00793208" w:rsidP="00793208">
      <w:pPr>
        <w:shd w:val="clear" w:color="auto" w:fill="FFFFFF" w:themeFill="background1"/>
        <w:jc w:val="both"/>
        <w:rPr>
          <w:rFonts w:ascii="Arial" w:hAnsi="Arial" w:cs="Arial"/>
          <w:sz w:val="22"/>
          <w:szCs w:val="20"/>
          <w:lang w:val="es-MX"/>
        </w:rPr>
      </w:pPr>
      <w:r w:rsidRPr="00793208">
        <w:rPr>
          <w:rFonts w:ascii="Arial" w:hAnsi="Arial" w:cs="Arial"/>
          <w:sz w:val="22"/>
          <w:szCs w:val="20"/>
          <w:lang w:val="en-US"/>
        </w:rPr>
        <w:fldChar w:fldCharType="end"/>
      </w:r>
    </w:p>
    <w:p w:rsidR="00793208" w:rsidRPr="00793208" w:rsidRDefault="00793208" w:rsidP="00793208">
      <w:pPr>
        <w:pStyle w:val="Bibliografa"/>
        <w:shd w:val="clear" w:color="auto" w:fill="FFFFFF" w:themeFill="background1"/>
        <w:jc w:val="both"/>
        <w:rPr>
          <w:rFonts w:ascii="Arial" w:hAnsi="Arial" w:cs="Arial"/>
          <w:noProof/>
          <w:sz w:val="22"/>
          <w:szCs w:val="20"/>
        </w:rPr>
      </w:pPr>
      <w:r w:rsidRPr="00793208">
        <w:rPr>
          <w:rFonts w:ascii="Arial" w:hAnsi="Arial" w:cs="Arial"/>
          <w:noProof/>
          <w:sz w:val="22"/>
          <w:szCs w:val="20"/>
        </w:rPr>
        <w:t xml:space="preserve">Boado, M. (2005). </w:t>
      </w:r>
      <w:r w:rsidRPr="00793208">
        <w:rPr>
          <w:rFonts w:ascii="Arial" w:hAnsi="Arial" w:cs="Arial"/>
          <w:i/>
          <w:iCs/>
          <w:noProof/>
          <w:sz w:val="22"/>
          <w:szCs w:val="20"/>
        </w:rPr>
        <w:t>Una aproximación a la deserción estudiantil universitaria en Uruguay</w:t>
      </w:r>
      <w:r w:rsidRPr="00793208">
        <w:rPr>
          <w:rFonts w:ascii="Arial" w:hAnsi="Arial" w:cs="Arial"/>
          <w:iCs/>
          <w:noProof/>
          <w:sz w:val="22"/>
          <w:szCs w:val="20"/>
        </w:rPr>
        <w:t>.</w:t>
      </w:r>
      <w:r w:rsidRPr="00793208">
        <w:rPr>
          <w:rFonts w:ascii="Arial" w:hAnsi="Arial" w:cs="Arial"/>
          <w:noProof/>
          <w:sz w:val="22"/>
          <w:szCs w:val="20"/>
        </w:rPr>
        <w:t xml:space="preserve"> Uruguay: </w:t>
      </w:r>
      <w:proofErr w:type="spellStart"/>
      <w:r w:rsidRPr="00793208">
        <w:rPr>
          <w:rFonts w:ascii="Arial" w:hAnsi="Arial" w:cs="Arial"/>
          <w:sz w:val="22"/>
          <w:szCs w:val="20"/>
          <w:shd w:val="clear" w:color="auto" w:fill="FFFFFF" w:themeFill="background1"/>
        </w:rPr>
        <w:t>IESALC</w:t>
      </w:r>
      <w:proofErr w:type="spellEnd"/>
      <w:r w:rsidRPr="00793208">
        <w:rPr>
          <w:rFonts w:ascii="Arial" w:hAnsi="Arial" w:cs="Arial"/>
          <w:sz w:val="22"/>
          <w:szCs w:val="20"/>
          <w:shd w:val="clear" w:color="auto" w:fill="FFFFFF" w:themeFill="background1"/>
        </w:rPr>
        <w:t>/UNESCO.</w:t>
      </w:r>
    </w:p>
    <w:p w:rsidR="00793208" w:rsidRPr="00793208" w:rsidRDefault="00793208" w:rsidP="00793208">
      <w:pPr>
        <w:shd w:val="clear" w:color="auto" w:fill="FFFFFF" w:themeFill="background1"/>
        <w:jc w:val="both"/>
        <w:rPr>
          <w:rFonts w:ascii="Arial" w:hAnsi="Arial" w:cs="Arial"/>
          <w:sz w:val="22"/>
          <w:szCs w:val="20"/>
        </w:rPr>
      </w:pPr>
    </w:p>
    <w:p w:rsidR="00793208" w:rsidRPr="00793208" w:rsidRDefault="00793208" w:rsidP="00793208">
      <w:pPr>
        <w:pStyle w:val="Bibliografa"/>
        <w:shd w:val="clear" w:color="auto" w:fill="FFFFFF" w:themeFill="background1"/>
        <w:jc w:val="both"/>
        <w:rPr>
          <w:rFonts w:ascii="Arial" w:hAnsi="Arial" w:cs="Arial"/>
          <w:noProof/>
          <w:sz w:val="22"/>
          <w:szCs w:val="20"/>
        </w:rPr>
      </w:pPr>
      <w:r w:rsidRPr="00793208">
        <w:rPr>
          <w:rFonts w:ascii="Arial" w:hAnsi="Arial" w:cs="Arial"/>
          <w:noProof/>
          <w:sz w:val="22"/>
          <w:szCs w:val="20"/>
        </w:rPr>
        <w:t xml:space="preserve">Castaño, E., Gallón, S., Gomez , K., &amp; Vasquez, J. (2008). Analisis de los factores asociados a la deserción estudiantil en la educacion superior: un estudio de caso. </w:t>
      </w:r>
      <w:r w:rsidRPr="00793208">
        <w:rPr>
          <w:rFonts w:ascii="Arial" w:hAnsi="Arial" w:cs="Arial"/>
          <w:i/>
          <w:iCs/>
          <w:noProof/>
          <w:sz w:val="22"/>
          <w:szCs w:val="20"/>
        </w:rPr>
        <w:t>Revista de Educación, 345 (1)</w:t>
      </w:r>
      <w:r w:rsidRPr="00793208">
        <w:rPr>
          <w:rFonts w:ascii="Arial" w:hAnsi="Arial" w:cs="Arial"/>
          <w:noProof/>
          <w:sz w:val="22"/>
          <w:szCs w:val="20"/>
        </w:rPr>
        <w:t>, 255-280.</w:t>
      </w:r>
    </w:p>
    <w:p w:rsidR="00793208" w:rsidRPr="00793208" w:rsidRDefault="00793208" w:rsidP="00793208">
      <w:pPr>
        <w:pStyle w:val="Bibliografa"/>
        <w:shd w:val="clear" w:color="auto" w:fill="FFFFFF" w:themeFill="background1"/>
        <w:jc w:val="both"/>
        <w:rPr>
          <w:rFonts w:ascii="Arial" w:hAnsi="Arial" w:cs="Arial"/>
          <w:noProof/>
          <w:sz w:val="22"/>
          <w:szCs w:val="20"/>
        </w:rPr>
      </w:pPr>
    </w:p>
    <w:p w:rsidR="00793208" w:rsidRPr="00793208" w:rsidRDefault="00793208" w:rsidP="00793208">
      <w:pPr>
        <w:pStyle w:val="Bibliografa"/>
        <w:shd w:val="clear" w:color="auto" w:fill="FFFFFF" w:themeFill="background1"/>
        <w:jc w:val="both"/>
        <w:rPr>
          <w:rFonts w:ascii="Arial" w:hAnsi="Arial" w:cs="Arial"/>
          <w:noProof/>
          <w:sz w:val="22"/>
          <w:szCs w:val="20"/>
        </w:rPr>
      </w:pPr>
      <w:r w:rsidRPr="00793208">
        <w:rPr>
          <w:rFonts w:ascii="Arial" w:hAnsi="Arial" w:cs="Arial"/>
          <w:noProof/>
          <w:sz w:val="22"/>
          <w:szCs w:val="20"/>
        </w:rPr>
        <w:t>Ministerio de Educación de Colombia. (2013). Destacados historicos, Estadisticas 2013. Recuperado de http://www.colombiaaprende.edu.co/html/micrositios/1752/w3-article-343426.html</w:t>
      </w:r>
    </w:p>
    <w:p w:rsidR="00793208" w:rsidRPr="00793208" w:rsidRDefault="00793208" w:rsidP="00793208">
      <w:pPr>
        <w:shd w:val="clear" w:color="auto" w:fill="FFFFFF" w:themeFill="background1"/>
        <w:jc w:val="both"/>
        <w:rPr>
          <w:rFonts w:ascii="Arial" w:hAnsi="Arial" w:cs="Arial"/>
          <w:sz w:val="22"/>
          <w:szCs w:val="20"/>
        </w:rPr>
      </w:pPr>
    </w:p>
    <w:p w:rsidR="00793208" w:rsidRPr="00793208" w:rsidRDefault="00793208" w:rsidP="00793208">
      <w:pPr>
        <w:pStyle w:val="Bibliografa"/>
        <w:shd w:val="clear" w:color="auto" w:fill="FFFFFF" w:themeFill="background1"/>
        <w:jc w:val="both"/>
        <w:rPr>
          <w:rFonts w:ascii="Arial" w:hAnsi="Arial" w:cs="Arial"/>
          <w:sz w:val="22"/>
          <w:szCs w:val="20"/>
        </w:rPr>
      </w:pPr>
      <w:r w:rsidRPr="00793208">
        <w:rPr>
          <w:rFonts w:ascii="Arial" w:hAnsi="Arial" w:cs="Arial"/>
          <w:noProof/>
          <w:sz w:val="22"/>
          <w:szCs w:val="20"/>
        </w:rPr>
        <w:t xml:space="preserve">Cuatrecasas, L. (2012). </w:t>
      </w:r>
      <w:r w:rsidRPr="00793208">
        <w:rPr>
          <w:rFonts w:ascii="Arial" w:hAnsi="Arial" w:cs="Arial"/>
          <w:i/>
          <w:iCs/>
          <w:noProof/>
          <w:sz w:val="22"/>
          <w:szCs w:val="20"/>
        </w:rPr>
        <w:t>Organización de la producción y organización de las direcciones.</w:t>
      </w:r>
      <w:r w:rsidRPr="00793208">
        <w:rPr>
          <w:rFonts w:ascii="Arial" w:hAnsi="Arial" w:cs="Arial"/>
          <w:noProof/>
          <w:sz w:val="22"/>
          <w:szCs w:val="20"/>
        </w:rPr>
        <w:t xml:space="preserve"> Madrid, España: Ediciones Diaz de Santos.</w:t>
      </w:r>
    </w:p>
    <w:p w:rsidR="00793208" w:rsidRPr="00793208" w:rsidRDefault="00793208" w:rsidP="00793208">
      <w:pPr>
        <w:pStyle w:val="Bibliografa"/>
        <w:jc w:val="both"/>
        <w:rPr>
          <w:rFonts w:ascii="Arial" w:hAnsi="Arial" w:cs="Arial"/>
          <w:noProof/>
          <w:sz w:val="22"/>
          <w:szCs w:val="20"/>
          <w:lang w:val="es-MX"/>
        </w:rPr>
      </w:pPr>
    </w:p>
    <w:p w:rsidR="00793208" w:rsidRPr="00793208" w:rsidRDefault="00793208" w:rsidP="00793208">
      <w:pPr>
        <w:pStyle w:val="Bibliografa"/>
        <w:jc w:val="both"/>
        <w:rPr>
          <w:rFonts w:ascii="Arial" w:hAnsi="Arial" w:cs="Arial"/>
          <w:noProof/>
          <w:sz w:val="22"/>
          <w:szCs w:val="20"/>
          <w:lang w:val="en-US"/>
        </w:rPr>
      </w:pPr>
      <w:r w:rsidRPr="00793208">
        <w:rPr>
          <w:rFonts w:ascii="Arial" w:hAnsi="Arial" w:cs="Arial"/>
          <w:noProof/>
          <w:sz w:val="22"/>
          <w:szCs w:val="20"/>
          <w:lang w:val="es-CO"/>
        </w:rPr>
        <w:t xml:space="preserve">De Witte, K., Cabus, S., Thyssen, G., Groot, W., &amp; Maassen van den Brink, H. (2013). </w:t>
      </w:r>
      <w:r w:rsidRPr="00793208">
        <w:rPr>
          <w:rFonts w:ascii="Arial" w:hAnsi="Arial" w:cs="Arial"/>
          <w:noProof/>
          <w:sz w:val="22"/>
          <w:szCs w:val="20"/>
          <w:lang w:val="en-US"/>
        </w:rPr>
        <w:t xml:space="preserve">A critical review of the literature on school dropout. </w:t>
      </w:r>
      <w:r w:rsidRPr="00793208">
        <w:rPr>
          <w:rFonts w:ascii="Arial" w:hAnsi="Arial" w:cs="Arial"/>
          <w:i/>
          <w:iCs/>
          <w:noProof/>
          <w:sz w:val="22"/>
          <w:szCs w:val="20"/>
          <w:lang w:val="en-US"/>
        </w:rPr>
        <w:t>Educational Research Review, 10</w:t>
      </w:r>
      <w:r w:rsidRPr="00793208">
        <w:rPr>
          <w:rFonts w:ascii="Arial" w:hAnsi="Arial" w:cs="Arial"/>
          <w:noProof/>
          <w:sz w:val="22"/>
          <w:szCs w:val="20"/>
          <w:lang w:val="en-US"/>
        </w:rPr>
        <w:t>(1), 13 - 28.</w:t>
      </w:r>
    </w:p>
    <w:p w:rsidR="00793208" w:rsidRPr="00793208" w:rsidRDefault="00793208" w:rsidP="00793208">
      <w:pPr>
        <w:jc w:val="both"/>
        <w:rPr>
          <w:rFonts w:ascii="Arial" w:hAnsi="Arial" w:cs="Arial"/>
          <w:sz w:val="22"/>
          <w:szCs w:val="20"/>
          <w:lang w:val="en-US"/>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Diaz Peralta, C. (2008). Modelo conceptual para la deserción estudiantil universitaria chilena. </w:t>
      </w:r>
      <w:r w:rsidRPr="00793208">
        <w:rPr>
          <w:rFonts w:ascii="Arial" w:hAnsi="Arial" w:cs="Arial"/>
          <w:i/>
          <w:iCs/>
          <w:noProof/>
          <w:sz w:val="22"/>
          <w:szCs w:val="20"/>
        </w:rPr>
        <w:t>Estudios pedagogicos,  34 (2)</w:t>
      </w:r>
      <w:r w:rsidRPr="00793208">
        <w:rPr>
          <w:rFonts w:ascii="Arial" w:hAnsi="Arial" w:cs="Arial"/>
          <w:noProof/>
          <w:sz w:val="22"/>
          <w:szCs w:val="20"/>
        </w:rPr>
        <w:t>, 65-86.</w:t>
      </w:r>
    </w:p>
    <w:p w:rsidR="00793208" w:rsidRPr="00793208" w:rsidRDefault="00793208" w:rsidP="00793208">
      <w:pPr>
        <w:pStyle w:val="Bibliografa"/>
        <w:jc w:val="both"/>
        <w:rPr>
          <w:rFonts w:ascii="Arial" w:hAnsi="Arial" w:cs="Arial"/>
          <w:noProof/>
          <w:sz w:val="22"/>
          <w:szCs w:val="20"/>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lastRenderedPageBreak/>
        <w:t xml:space="preserve">Donoso, S., &amp; Schiefelbein, E. (2007). Análisis de los modelos explicativos de retención de estudiantes en la Universidad:una vision desde la desigualdad social. </w:t>
      </w:r>
      <w:r w:rsidRPr="00793208">
        <w:rPr>
          <w:rFonts w:ascii="Arial" w:hAnsi="Arial" w:cs="Arial"/>
          <w:i/>
          <w:iCs/>
          <w:noProof/>
          <w:sz w:val="22"/>
          <w:szCs w:val="20"/>
        </w:rPr>
        <w:t>Estudios Pedagógicos, 33 (1)</w:t>
      </w:r>
      <w:r w:rsidRPr="00793208">
        <w:rPr>
          <w:rFonts w:ascii="Arial" w:hAnsi="Arial" w:cs="Arial"/>
          <w:noProof/>
          <w:sz w:val="22"/>
          <w:szCs w:val="20"/>
        </w:rPr>
        <w:t>, 7-27.</w:t>
      </w:r>
    </w:p>
    <w:p w:rsidR="00793208" w:rsidRPr="00793208" w:rsidRDefault="00793208" w:rsidP="00793208">
      <w:pPr>
        <w:jc w:val="both"/>
        <w:rPr>
          <w:rFonts w:ascii="Arial" w:hAnsi="Arial" w:cs="Arial"/>
          <w:sz w:val="22"/>
          <w:szCs w:val="20"/>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shd w:val="clear" w:color="auto" w:fill="FFFFFF" w:themeFill="background1"/>
        </w:rPr>
        <w:t>Engineeringchallenges.</w:t>
      </w:r>
      <w:r w:rsidRPr="00793208">
        <w:rPr>
          <w:rFonts w:ascii="Arial" w:hAnsi="Arial" w:cs="Arial"/>
          <w:sz w:val="22"/>
          <w:szCs w:val="20"/>
          <w:shd w:val="clear" w:color="auto" w:fill="FFFFFF" w:themeFill="background1"/>
        </w:rPr>
        <w:t xml:space="preserve"> </w:t>
      </w:r>
      <w:r w:rsidRPr="00793208">
        <w:rPr>
          <w:rFonts w:ascii="Arial" w:hAnsi="Arial" w:cs="Arial"/>
          <w:sz w:val="22"/>
          <w:szCs w:val="20"/>
        </w:rPr>
        <w:fldChar w:fldCharType="begin"/>
      </w:r>
      <w:r w:rsidRPr="00793208">
        <w:rPr>
          <w:rFonts w:ascii="Arial" w:hAnsi="Arial" w:cs="Arial"/>
          <w:sz w:val="22"/>
          <w:szCs w:val="20"/>
        </w:rPr>
        <w:instrText xml:space="preserve"> BIBLIOGRAPHY  \l 2058 </w:instrText>
      </w:r>
      <w:r w:rsidRPr="00793208">
        <w:rPr>
          <w:rFonts w:ascii="Arial" w:hAnsi="Arial" w:cs="Arial"/>
          <w:sz w:val="22"/>
          <w:szCs w:val="20"/>
        </w:rPr>
        <w:fldChar w:fldCharType="separate"/>
      </w:r>
      <w:r w:rsidRPr="00793208">
        <w:rPr>
          <w:rFonts w:ascii="Arial" w:hAnsi="Arial" w:cs="Arial"/>
          <w:noProof/>
          <w:sz w:val="22"/>
          <w:szCs w:val="20"/>
        </w:rPr>
        <w:t>(2016). Recuperado de http://www.engineeringchallenges.org/</w:t>
      </w:r>
    </w:p>
    <w:p w:rsidR="00793208" w:rsidRPr="00793208" w:rsidRDefault="00793208" w:rsidP="00793208">
      <w:pPr>
        <w:pStyle w:val="Bibliografa"/>
        <w:jc w:val="both"/>
        <w:rPr>
          <w:rFonts w:ascii="Arial" w:hAnsi="Arial" w:cs="Arial"/>
          <w:i/>
          <w:iCs/>
          <w:noProof/>
          <w:sz w:val="22"/>
          <w:szCs w:val="20"/>
        </w:rPr>
      </w:pPr>
    </w:p>
    <w:p w:rsidR="00793208" w:rsidRPr="00793208" w:rsidRDefault="00793208" w:rsidP="00793208">
      <w:pPr>
        <w:jc w:val="both"/>
        <w:rPr>
          <w:rFonts w:ascii="Arial" w:hAnsi="Arial" w:cs="Arial"/>
          <w:noProof/>
          <w:sz w:val="22"/>
          <w:szCs w:val="20"/>
        </w:rPr>
      </w:pPr>
      <w:r w:rsidRPr="00793208">
        <w:rPr>
          <w:rFonts w:ascii="Arial" w:hAnsi="Arial" w:cs="Arial"/>
          <w:sz w:val="22"/>
          <w:szCs w:val="20"/>
        </w:rPr>
        <w:fldChar w:fldCharType="end"/>
      </w:r>
      <w:r w:rsidRPr="00793208">
        <w:rPr>
          <w:rFonts w:ascii="Arial" w:hAnsi="Arial" w:cs="Arial"/>
          <w:noProof/>
          <w:sz w:val="22"/>
          <w:szCs w:val="20"/>
        </w:rPr>
        <w:t xml:space="preserve">García, J. C., González, M. L., &amp; Zanfrillo, A. I. </w:t>
      </w:r>
      <w:r w:rsidRPr="00793208">
        <w:rPr>
          <w:rFonts w:ascii="Arial" w:hAnsi="Arial" w:cs="Arial"/>
          <w:iCs/>
          <w:noProof/>
          <w:sz w:val="22"/>
          <w:szCs w:val="20"/>
        </w:rPr>
        <w:t xml:space="preserve">(2011). </w:t>
      </w:r>
      <w:r w:rsidRPr="00793208">
        <w:rPr>
          <w:rFonts w:ascii="Arial" w:hAnsi="Arial" w:cs="Arial"/>
          <w:noProof/>
          <w:sz w:val="22"/>
          <w:szCs w:val="20"/>
        </w:rPr>
        <w:t xml:space="preserve">DesgranamientoUniversitario: Perspectiva Estudiantil En Ingeniería. </w:t>
      </w:r>
      <w:r w:rsidRPr="00793208">
        <w:rPr>
          <w:rFonts w:ascii="Arial" w:hAnsi="Arial" w:cs="Arial"/>
          <w:iCs/>
          <w:noProof/>
          <w:sz w:val="22"/>
          <w:szCs w:val="20"/>
        </w:rPr>
        <w:t>Universidad Federal de SantaCatarina</w:t>
      </w:r>
      <w:r w:rsidRPr="00793208">
        <w:rPr>
          <w:rFonts w:ascii="Arial" w:hAnsi="Arial" w:cs="Arial"/>
          <w:noProof/>
          <w:sz w:val="22"/>
          <w:szCs w:val="20"/>
        </w:rPr>
        <w:t xml:space="preserve">. </w:t>
      </w:r>
      <w:hyperlink r:id="rId15" w:history="1">
        <w:r w:rsidRPr="00793208">
          <w:rPr>
            <w:rStyle w:val="Hipervnculo"/>
            <w:rFonts w:ascii="Arial" w:hAnsi="Arial" w:cs="Arial"/>
            <w:noProof/>
            <w:color w:val="auto"/>
            <w:sz w:val="22"/>
            <w:szCs w:val="20"/>
            <w:u w:val="none"/>
          </w:rPr>
          <w:t>http://repositorio.ufsc.br/xmlui/handle/123456789/25923</w:t>
        </w:r>
      </w:hyperlink>
      <w:r w:rsidRPr="00793208">
        <w:rPr>
          <w:rFonts w:ascii="Arial" w:hAnsi="Arial" w:cs="Arial"/>
          <w:noProof/>
          <w:sz w:val="22"/>
          <w:szCs w:val="20"/>
        </w:rPr>
        <w:t>.</w:t>
      </w:r>
    </w:p>
    <w:p w:rsidR="00793208" w:rsidRPr="00793208" w:rsidRDefault="00793208" w:rsidP="00793208">
      <w:pPr>
        <w:jc w:val="both"/>
        <w:rPr>
          <w:rFonts w:ascii="Arial" w:hAnsi="Arial" w:cs="Arial"/>
          <w:noProof/>
          <w:sz w:val="22"/>
          <w:szCs w:val="20"/>
        </w:rPr>
      </w:pPr>
    </w:p>
    <w:p w:rsidR="00793208" w:rsidRPr="00793208" w:rsidRDefault="00793208" w:rsidP="00793208">
      <w:pPr>
        <w:pStyle w:val="Bibliografa"/>
        <w:shd w:val="clear" w:color="auto" w:fill="FFFFFF" w:themeFill="background1"/>
        <w:jc w:val="both"/>
        <w:rPr>
          <w:rFonts w:ascii="Arial" w:hAnsi="Arial" w:cs="Arial"/>
          <w:noProof/>
          <w:sz w:val="22"/>
          <w:szCs w:val="20"/>
        </w:rPr>
      </w:pPr>
      <w:r w:rsidRPr="00793208">
        <w:rPr>
          <w:rFonts w:ascii="Arial" w:hAnsi="Arial" w:cs="Arial"/>
          <w:sz w:val="22"/>
          <w:szCs w:val="20"/>
        </w:rPr>
        <w:fldChar w:fldCharType="begin"/>
      </w:r>
      <w:r w:rsidRPr="00793208">
        <w:rPr>
          <w:rFonts w:ascii="Arial" w:hAnsi="Arial" w:cs="Arial"/>
          <w:sz w:val="22"/>
          <w:szCs w:val="20"/>
        </w:rPr>
        <w:instrText xml:space="preserve"> BIBLIOGRAPHY  \l 2058 </w:instrText>
      </w:r>
      <w:r w:rsidRPr="00793208">
        <w:rPr>
          <w:rFonts w:ascii="Arial" w:hAnsi="Arial" w:cs="Arial"/>
          <w:sz w:val="22"/>
          <w:szCs w:val="20"/>
        </w:rPr>
        <w:fldChar w:fldCharType="separate"/>
      </w:r>
      <w:r w:rsidRPr="00793208">
        <w:rPr>
          <w:rFonts w:ascii="Arial" w:hAnsi="Arial" w:cs="Arial"/>
          <w:i/>
          <w:iCs/>
          <w:noProof/>
          <w:sz w:val="22"/>
          <w:szCs w:val="20"/>
        </w:rPr>
        <w:t>Globalgoals</w:t>
      </w:r>
      <w:r w:rsidRPr="00793208">
        <w:rPr>
          <w:rFonts w:ascii="Arial" w:hAnsi="Arial" w:cs="Arial"/>
          <w:noProof/>
          <w:sz w:val="22"/>
          <w:szCs w:val="20"/>
        </w:rPr>
        <w:t>. (2016). Recuperado de http://www.globalgoals.org/</w:t>
      </w:r>
    </w:p>
    <w:p w:rsidR="00793208" w:rsidRPr="00793208" w:rsidRDefault="00793208" w:rsidP="00793208">
      <w:pPr>
        <w:pStyle w:val="Bibliografa"/>
        <w:shd w:val="clear" w:color="auto" w:fill="FFFFFF" w:themeFill="background1"/>
        <w:jc w:val="both"/>
        <w:rPr>
          <w:rFonts w:ascii="Arial" w:hAnsi="Arial" w:cs="Arial"/>
          <w:noProof/>
          <w:sz w:val="22"/>
          <w:szCs w:val="20"/>
        </w:rPr>
      </w:pPr>
      <w:r w:rsidRPr="00793208">
        <w:rPr>
          <w:rFonts w:ascii="Arial" w:hAnsi="Arial" w:cs="Arial"/>
          <w:sz w:val="22"/>
          <w:szCs w:val="20"/>
        </w:rPr>
        <w:fldChar w:fldCharType="end"/>
      </w: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Guzman, S. P. (2009). Des</w:t>
      </w:r>
      <w:r w:rsidRPr="00793208">
        <w:rPr>
          <w:rFonts w:ascii="Arial" w:hAnsi="Arial" w:cs="Arial"/>
          <w:i/>
          <w:noProof/>
          <w:sz w:val="22"/>
          <w:szCs w:val="20"/>
        </w:rPr>
        <w:t>erción y retención estudiantil en los programas de pregrado de la Pontificie Universidad Javeriana</w:t>
      </w:r>
      <w:r w:rsidRPr="00793208">
        <w:rPr>
          <w:rFonts w:ascii="Arial" w:hAnsi="Arial" w:cs="Arial"/>
          <w:noProof/>
          <w:sz w:val="22"/>
          <w:szCs w:val="20"/>
        </w:rPr>
        <w:t xml:space="preserve"> (Tesis de </w:t>
      </w:r>
      <w:r w:rsidRPr="00793208">
        <w:rPr>
          <w:rFonts w:ascii="Arial" w:hAnsi="Arial" w:cs="Arial"/>
          <w:iCs/>
          <w:noProof/>
          <w:sz w:val="22"/>
          <w:szCs w:val="20"/>
        </w:rPr>
        <w:t>Maestría)</w:t>
      </w:r>
      <w:r w:rsidRPr="00793208">
        <w:rPr>
          <w:rFonts w:ascii="Arial" w:hAnsi="Arial" w:cs="Arial"/>
          <w:i/>
          <w:iCs/>
          <w:noProof/>
          <w:sz w:val="22"/>
          <w:szCs w:val="20"/>
        </w:rPr>
        <w:t>.</w:t>
      </w:r>
      <w:r w:rsidRPr="00793208">
        <w:rPr>
          <w:rFonts w:ascii="Arial" w:hAnsi="Arial" w:cs="Arial"/>
          <w:noProof/>
          <w:sz w:val="22"/>
          <w:szCs w:val="20"/>
        </w:rPr>
        <w:t xml:space="preserve"> Universidad Javeriana, Bogotá, Colombia.</w:t>
      </w:r>
    </w:p>
    <w:p w:rsidR="00793208" w:rsidRPr="00793208" w:rsidRDefault="00793208" w:rsidP="00793208">
      <w:pPr>
        <w:jc w:val="both"/>
        <w:rPr>
          <w:rFonts w:ascii="Arial" w:hAnsi="Arial" w:cs="Arial"/>
          <w:sz w:val="22"/>
          <w:szCs w:val="20"/>
        </w:rPr>
      </w:pPr>
    </w:p>
    <w:p w:rsidR="00793208" w:rsidRPr="00793208" w:rsidRDefault="00793208" w:rsidP="00793208">
      <w:pPr>
        <w:pStyle w:val="Bibliografa"/>
        <w:jc w:val="both"/>
        <w:rPr>
          <w:rFonts w:ascii="Arial" w:hAnsi="Arial" w:cs="Arial"/>
          <w:sz w:val="22"/>
          <w:szCs w:val="20"/>
        </w:rPr>
      </w:pPr>
      <w:r w:rsidRPr="00793208">
        <w:rPr>
          <w:rFonts w:ascii="Arial" w:hAnsi="Arial" w:cs="Arial"/>
          <w:noProof/>
          <w:sz w:val="22"/>
          <w:szCs w:val="20"/>
        </w:rPr>
        <w:t xml:space="preserve">Himmel, E. (2002). Modelos De Analisis De La Desercion Estudiantil En La Educacion Superior. </w:t>
      </w:r>
      <w:r w:rsidRPr="00793208">
        <w:rPr>
          <w:rFonts w:ascii="Arial" w:hAnsi="Arial" w:cs="Arial"/>
          <w:i/>
          <w:iCs/>
          <w:noProof/>
          <w:sz w:val="22"/>
          <w:szCs w:val="20"/>
        </w:rPr>
        <w:t>Calidad en Educación, 17 (1)</w:t>
      </w:r>
      <w:r w:rsidRPr="00793208">
        <w:rPr>
          <w:rFonts w:ascii="Arial" w:hAnsi="Arial" w:cs="Arial"/>
          <w:noProof/>
          <w:sz w:val="22"/>
          <w:szCs w:val="20"/>
        </w:rPr>
        <w:t>, 91 - 108.</w:t>
      </w:r>
    </w:p>
    <w:p w:rsidR="00793208" w:rsidRPr="00793208" w:rsidRDefault="00793208" w:rsidP="00793208">
      <w:pPr>
        <w:pStyle w:val="Bibliografa"/>
        <w:ind w:left="720" w:hanging="720"/>
        <w:jc w:val="both"/>
        <w:rPr>
          <w:rFonts w:ascii="Arial" w:hAnsi="Arial" w:cs="Arial"/>
          <w:noProof/>
          <w:sz w:val="22"/>
          <w:szCs w:val="20"/>
        </w:rPr>
      </w:pPr>
    </w:p>
    <w:p w:rsidR="00793208" w:rsidRPr="00793208" w:rsidRDefault="00793208" w:rsidP="00793208">
      <w:pPr>
        <w:jc w:val="both"/>
        <w:rPr>
          <w:rFonts w:ascii="Arial" w:hAnsi="Arial" w:cs="Arial"/>
          <w:sz w:val="22"/>
          <w:szCs w:val="20"/>
          <w:lang w:val="en-US"/>
        </w:rPr>
      </w:pPr>
      <w:proofErr w:type="spellStart"/>
      <w:r w:rsidRPr="00793208">
        <w:rPr>
          <w:rFonts w:ascii="Arial" w:hAnsi="Arial" w:cs="Arial"/>
          <w:sz w:val="22"/>
          <w:szCs w:val="20"/>
          <w:lang w:val="en-US"/>
        </w:rPr>
        <w:t>Katehi</w:t>
      </w:r>
      <w:proofErr w:type="spellEnd"/>
      <w:r w:rsidRPr="00793208">
        <w:rPr>
          <w:rFonts w:ascii="Arial" w:hAnsi="Arial" w:cs="Arial"/>
          <w:sz w:val="22"/>
          <w:szCs w:val="20"/>
          <w:lang w:val="en-US"/>
        </w:rPr>
        <w:t xml:space="preserve">, L., Pearson, G., &amp; </w:t>
      </w:r>
      <w:proofErr w:type="spellStart"/>
      <w:proofErr w:type="gramStart"/>
      <w:r w:rsidRPr="00793208">
        <w:rPr>
          <w:rFonts w:ascii="Arial" w:hAnsi="Arial" w:cs="Arial"/>
          <w:sz w:val="22"/>
          <w:szCs w:val="20"/>
          <w:lang w:val="en-US"/>
        </w:rPr>
        <w:t>Feder</w:t>
      </w:r>
      <w:proofErr w:type="spellEnd"/>
      <w:r w:rsidRPr="00793208">
        <w:rPr>
          <w:rFonts w:ascii="Arial" w:hAnsi="Arial" w:cs="Arial"/>
          <w:sz w:val="22"/>
          <w:szCs w:val="20"/>
          <w:lang w:val="en-US"/>
        </w:rPr>
        <w:t>.,</w:t>
      </w:r>
      <w:proofErr w:type="gramEnd"/>
      <w:r w:rsidRPr="00793208">
        <w:rPr>
          <w:rFonts w:ascii="Arial" w:hAnsi="Arial" w:cs="Arial"/>
          <w:sz w:val="22"/>
          <w:szCs w:val="20"/>
          <w:lang w:val="en-US"/>
        </w:rPr>
        <w:t xml:space="preserve"> M. (2009). </w:t>
      </w:r>
      <w:r w:rsidRPr="00793208">
        <w:rPr>
          <w:rFonts w:ascii="Arial" w:hAnsi="Arial" w:cs="Arial"/>
          <w:i/>
          <w:sz w:val="22"/>
          <w:szCs w:val="20"/>
          <w:lang w:val="en-US"/>
        </w:rPr>
        <w:t xml:space="preserve">Engineering in K-12 Education: Understanding the Status and Improving the Prospects. En </w:t>
      </w:r>
      <w:r w:rsidRPr="00793208">
        <w:rPr>
          <w:rFonts w:ascii="Arial" w:hAnsi="Arial" w:cs="Arial"/>
          <w:sz w:val="22"/>
          <w:szCs w:val="20"/>
          <w:lang w:val="en-US"/>
        </w:rPr>
        <w:t xml:space="preserve">Committee on K-12 Engineering Education; National Academy of Engineering and National Research Council, </w:t>
      </w:r>
      <w:r w:rsidRPr="00793208">
        <w:rPr>
          <w:rFonts w:ascii="Arial" w:hAnsi="Arial" w:cs="Arial"/>
          <w:i/>
          <w:sz w:val="22"/>
          <w:szCs w:val="20"/>
          <w:lang w:val="en-US"/>
        </w:rPr>
        <w:t>(</w:t>
      </w:r>
      <w:r w:rsidRPr="00793208">
        <w:rPr>
          <w:rFonts w:ascii="Arial" w:hAnsi="Arial" w:cs="Arial"/>
          <w:sz w:val="22"/>
          <w:szCs w:val="20"/>
          <w:lang w:val="en-US"/>
        </w:rPr>
        <w:t>pp. 27-218</w:t>
      </w:r>
      <w:r w:rsidRPr="00793208">
        <w:rPr>
          <w:rFonts w:ascii="Arial" w:hAnsi="Arial" w:cs="Arial"/>
          <w:i/>
          <w:sz w:val="22"/>
          <w:szCs w:val="20"/>
          <w:lang w:val="en-US"/>
        </w:rPr>
        <w:t>)</w:t>
      </w:r>
      <w:r w:rsidRPr="00793208">
        <w:rPr>
          <w:rFonts w:ascii="Arial" w:hAnsi="Arial" w:cs="Arial"/>
          <w:sz w:val="22"/>
          <w:szCs w:val="20"/>
          <w:lang w:val="en-US"/>
        </w:rPr>
        <w:t xml:space="preserve">. Washington, </w:t>
      </w:r>
      <w:proofErr w:type="spellStart"/>
      <w:r w:rsidRPr="00793208">
        <w:rPr>
          <w:rFonts w:ascii="Arial" w:hAnsi="Arial" w:cs="Arial"/>
          <w:sz w:val="22"/>
          <w:szCs w:val="20"/>
          <w:lang w:val="en-US"/>
        </w:rPr>
        <w:t>D.C</w:t>
      </w:r>
      <w:proofErr w:type="spellEnd"/>
      <w:r w:rsidRPr="00793208">
        <w:rPr>
          <w:rFonts w:ascii="Arial" w:hAnsi="Arial" w:cs="Arial"/>
          <w:sz w:val="22"/>
          <w:szCs w:val="20"/>
          <w:lang w:val="en-US"/>
        </w:rPr>
        <w:t xml:space="preserve">, </w:t>
      </w:r>
      <w:proofErr w:type="spellStart"/>
      <w:r w:rsidRPr="00793208">
        <w:rPr>
          <w:rFonts w:ascii="Arial" w:hAnsi="Arial" w:cs="Arial"/>
          <w:sz w:val="22"/>
          <w:szCs w:val="20"/>
          <w:lang w:val="en-US"/>
        </w:rPr>
        <w:t>EEUU</w:t>
      </w:r>
      <w:proofErr w:type="spellEnd"/>
      <w:r w:rsidRPr="00793208">
        <w:rPr>
          <w:rFonts w:ascii="Arial" w:hAnsi="Arial" w:cs="Arial"/>
          <w:sz w:val="22"/>
          <w:szCs w:val="20"/>
          <w:lang w:val="en-US"/>
        </w:rPr>
        <w:t>: national academics.</w:t>
      </w:r>
    </w:p>
    <w:p w:rsidR="00793208" w:rsidRPr="00793208" w:rsidRDefault="00793208" w:rsidP="00793208">
      <w:pPr>
        <w:jc w:val="both"/>
        <w:rPr>
          <w:rFonts w:ascii="Arial" w:hAnsi="Arial" w:cs="Arial"/>
          <w:sz w:val="22"/>
          <w:szCs w:val="20"/>
          <w:lang w:val="en-US"/>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Ministerio de Educación Nacional (MEN) República de Colombia. (2012). Cómo rinde la Educacion Superior: Así vamos en acceso y permanencia de la Educación Superior. </w:t>
      </w:r>
      <w:r w:rsidRPr="00793208">
        <w:rPr>
          <w:rFonts w:ascii="Arial" w:hAnsi="Arial" w:cs="Arial"/>
          <w:i/>
          <w:iCs/>
          <w:noProof/>
          <w:sz w:val="22"/>
          <w:szCs w:val="20"/>
        </w:rPr>
        <w:t>Diapositivas de PowerPoint</w:t>
      </w:r>
      <w:r w:rsidRPr="00793208">
        <w:rPr>
          <w:rFonts w:ascii="Arial" w:hAnsi="Arial" w:cs="Arial"/>
          <w:noProof/>
          <w:sz w:val="22"/>
          <w:szCs w:val="20"/>
        </w:rPr>
        <w:t>. Recuperdo de Ministerio de Educación Nacioanal: http://www.mineducacion.gov.co.</w:t>
      </w:r>
    </w:p>
    <w:p w:rsidR="00793208" w:rsidRPr="00793208" w:rsidRDefault="00793208" w:rsidP="00793208">
      <w:pPr>
        <w:jc w:val="both"/>
        <w:rPr>
          <w:rFonts w:ascii="Arial" w:hAnsi="Arial" w:cs="Arial"/>
          <w:sz w:val="22"/>
          <w:szCs w:val="20"/>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Ministerio de Educación Nacional (MEN) República de Colombia. (2009). </w:t>
      </w:r>
      <w:r w:rsidRPr="00793208">
        <w:rPr>
          <w:rFonts w:ascii="Arial" w:hAnsi="Arial" w:cs="Arial"/>
          <w:i/>
          <w:iCs/>
          <w:noProof/>
          <w:sz w:val="22"/>
          <w:szCs w:val="20"/>
        </w:rPr>
        <w:t xml:space="preserve">Deserción estudiantil En La Educación Superior </w:t>
      </w:r>
      <w:r w:rsidRPr="00793208">
        <w:rPr>
          <w:rFonts w:ascii="Arial" w:hAnsi="Arial" w:cs="Arial"/>
          <w:i/>
          <w:iCs/>
          <w:noProof/>
          <w:sz w:val="22"/>
          <w:szCs w:val="20"/>
        </w:rPr>
        <w:lastRenderedPageBreak/>
        <w:t>Colombiana.</w:t>
      </w:r>
      <w:r w:rsidRPr="00793208">
        <w:rPr>
          <w:rFonts w:ascii="Arial" w:hAnsi="Arial" w:cs="Arial"/>
          <w:noProof/>
          <w:sz w:val="22"/>
          <w:szCs w:val="20"/>
        </w:rPr>
        <w:t xml:space="preserve"> Bogotá, Colombia: Imprenta Nacional de Colombia.</w:t>
      </w:r>
    </w:p>
    <w:p w:rsidR="00793208" w:rsidRPr="00793208" w:rsidRDefault="00793208" w:rsidP="00793208">
      <w:pPr>
        <w:jc w:val="both"/>
        <w:rPr>
          <w:rFonts w:ascii="Arial" w:hAnsi="Arial" w:cs="Arial"/>
          <w:sz w:val="22"/>
          <w:szCs w:val="20"/>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Ministerio de Educación Nacional (MEN) República de Colombia. (2008). </w:t>
      </w:r>
      <w:r w:rsidRPr="00793208">
        <w:rPr>
          <w:rFonts w:ascii="Arial" w:hAnsi="Arial" w:cs="Arial"/>
          <w:i/>
          <w:iCs/>
          <w:noProof/>
          <w:sz w:val="22"/>
          <w:szCs w:val="20"/>
        </w:rPr>
        <w:t>Análisis De Determinantes De La Deserción En La Educación Superior Colombiana Con Base En El SPADIES.</w:t>
      </w:r>
      <w:r w:rsidRPr="00793208">
        <w:rPr>
          <w:rFonts w:ascii="Arial" w:hAnsi="Arial" w:cs="Arial"/>
          <w:noProof/>
          <w:sz w:val="22"/>
          <w:szCs w:val="20"/>
        </w:rPr>
        <w:t xml:space="preserve"> Bogotá, Colombia: Imprenta Nacional de Colombia.</w:t>
      </w:r>
    </w:p>
    <w:p w:rsidR="00793208" w:rsidRPr="00793208" w:rsidRDefault="00793208" w:rsidP="00793208">
      <w:pPr>
        <w:pStyle w:val="Bibliografa"/>
        <w:jc w:val="both"/>
        <w:rPr>
          <w:rFonts w:ascii="Arial" w:hAnsi="Arial" w:cs="Arial"/>
          <w:noProof/>
          <w:sz w:val="22"/>
          <w:szCs w:val="20"/>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Montes, I. C., Almonacid, P. M., Gómez, S., Zuluaga, F. I., &amp; Tamayo, E. (2010). Análisis de la deserción estudiantil en los programa de pregrado de la universidad EAFIT. </w:t>
      </w:r>
      <w:r w:rsidRPr="00793208">
        <w:rPr>
          <w:rFonts w:ascii="Arial" w:hAnsi="Arial" w:cs="Arial"/>
          <w:i/>
          <w:iCs/>
          <w:noProof/>
          <w:sz w:val="22"/>
          <w:szCs w:val="20"/>
        </w:rPr>
        <w:t>Serie Cuadernos de Investigación</w:t>
      </w:r>
      <w:r w:rsidRPr="00793208">
        <w:rPr>
          <w:rFonts w:ascii="Arial" w:hAnsi="Arial" w:cs="Arial"/>
          <w:noProof/>
          <w:sz w:val="22"/>
          <w:szCs w:val="20"/>
        </w:rPr>
        <w:t>. Medellín, Colombia: Universidad de EAFIT.</w:t>
      </w:r>
    </w:p>
    <w:p w:rsidR="00793208" w:rsidRPr="00793208" w:rsidRDefault="00793208" w:rsidP="00793208">
      <w:pPr>
        <w:jc w:val="both"/>
        <w:rPr>
          <w:rFonts w:ascii="Arial" w:hAnsi="Arial" w:cs="Arial"/>
          <w:sz w:val="22"/>
          <w:szCs w:val="20"/>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Osorio, A., Bolancé, C., &amp; Castillo Caicedo , M. (2011). Desercion y graduación estudiantil universitaria: una aplicacion de los modelos de supervivencia. </w:t>
      </w:r>
      <w:r w:rsidRPr="00793208">
        <w:rPr>
          <w:rFonts w:ascii="Arial" w:hAnsi="Arial" w:cs="Arial"/>
          <w:i/>
          <w:iCs/>
          <w:noProof/>
          <w:sz w:val="22"/>
          <w:szCs w:val="20"/>
        </w:rPr>
        <w:t>Revista Iberoamericana de Educacion Superior (RIES), 3(6)</w:t>
      </w:r>
      <w:r w:rsidRPr="00793208">
        <w:rPr>
          <w:rFonts w:ascii="Arial" w:hAnsi="Arial" w:cs="Arial"/>
          <w:noProof/>
          <w:sz w:val="22"/>
          <w:szCs w:val="20"/>
        </w:rPr>
        <w:t>, 31-57.</w:t>
      </w:r>
    </w:p>
    <w:p w:rsidR="00793208" w:rsidRPr="00793208" w:rsidRDefault="00793208" w:rsidP="00793208">
      <w:pPr>
        <w:pStyle w:val="Bibliografa"/>
        <w:jc w:val="both"/>
        <w:rPr>
          <w:rFonts w:ascii="Arial" w:hAnsi="Arial" w:cs="Arial"/>
          <w:noProof/>
          <w:sz w:val="22"/>
          <w:szCs w:val="20"/>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Osorio, I., &amp; Hernandez, M. (2011). Prevalencia de deserción escolar en embarazadas adolesentes de instituciones educativas oficiales del Valle del Cauca, Colombia. </w:t>
      </w:r>
      <w:r w:rsidRPr="00793208">
        <w:rPr>
          <w:rFonts w:ascii="Arial" w:hAnsi="Arial" w:cs="Arial"/>
          <w:i/>
          <w:iCs/>
          <w:noProof/>
          <w:sz w:val="22"/>
          <w:szCs w:val="20"/>
        </w:rPr>
        <w:t>Colombia medica, 42(3)</w:t>
      </w:r>
      <w:r w:rsidRPr="00793208">
        <w:rPr>
          <w:rFonts w:ascii="Arial" w:hAnsi="Arial" w:cs="Arial"/>
          <w:noProof/>
          <w:sz w:val="22"/>
          <w:szCs w:val="20"/>
        </w:rPr>
        <w:t>, 303 - 308.</w:t>
      </w:r>
    </w:p>
    <w:p w:rsidR="00793208" w:rsidRPr="00793208" w:rsidRDefault="00793208" w:rsidP="00793208">
      <w:pPr>
        <w:jc w:val="both"/>
        <w:rPr>
          <w:rFonts w:ascii="Arial" w:hAnsi="Arial" w:cs="Arial"/>
          <w:sz w:val="22"/>
          <w:szCs w:val="20"/>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Rodriguez, L. H., &amp; Londoño, F. J. (2011). Estudio sobre deserción estudiantil en los programas de educación de la Catolica del Norte Fundación Universitaria. </w:t>
      </w:r>
      <w:r w:rsidRPr="00793208">
        <w:rPr>
          <w:rFonts w:ascii="Arial" w:hAnsi="Arial" w:cs="Arial"/>
          <w:i/>
          <w:iCs/>
          <w:noProof/>
          <w:sz w:val="22"/>
          <w:szCs w:val="20"/>
        </w:rPr>
        <w:t>Revista virtual Universidad Católica del Norte, 33(1)</w:t>
      </w:r>
      <w:r w:rsidRPr="00793208">
        <w:rPr>
          <w:rFonts w:ascii="Arial" w:hAnsi="Arial" w:cs="Arial"/>
          <w:noProof/>
          <w:sz w:val="22"/>
          <w:szCs w:val="20"/>
        </w:rPr>
        <w:t>, 328-355.</w:t>
      </w:r>
    </w:p>
    <w:p w:rsidR="00793208" w:rsidRPr="00793208" w:rsidRDefault="00793208" w:rsidP="00793208">
      <w:pPr>
        <w:jc w:val="both"/>
        <w:rPr>
          <w:rFonts w:ascii="Arial" w:hAnsi="Arial" w:cs="Arial"/>
          <w:sz w:val="22"/>
          <w:szCs w:val="20"/>
        </w:rPr>
      </w:pPr>
    </w:p>
    <w:p w:rsidR="00793208" w:rsidRPr="00793208" w:rsidRDefault="00793208" w:rsidP="00793208">
      <w:pPr>
        <w:pStyle w:val="Bibliografa"/>
        <w:jc w:val="both"/>
        <w:rPr>
          <w:rFonts w:ascii="Arial" w:hAnsi="Arial" w:cs="Arial"/>
          <w:noProof/>
          <w:sz w:val="22"/>
          <w:szCs w:val="20"/>
          <w:lang w:val="es-MX"/>
        </w:rPr>
      </w:pPr>
      <w:r w:rsidRPr="00793208">
        <w:rPr>
          <w:rFonts w:ascii="Arial" w:hAnsi="Arial" w:cs="Arial"/>
          <w:noProof/>
          <w:sz w:val="22"/>
          <w:szCs w:val="20"/>
        </w:rPr>
        <w:t xml:space="preserve">Tas, A., Bora, V., Selvitopu, A., &amp; Demirkaya, Y. (2013). </w:t>
      </w:r>
      <w:r w:rsidRPr="00793208">
        <w:rPr>
          <w:rFonts w:ascii="Arial" w:hAnsi="Arial" w:cs="Arial"/>
          <w:noProof/>
          <w:sz w:val="22"/>
          <w:szCs w:val="20"/>
          <w:lang w:val="en-US"/>
        </w:rPr>
        <w:t xml:space="preserve">Reasons for Dropout for Vocational High School. </w:t>
      </w:r>
      <w:r w:rsidRPr="00793208">
        <w:rPr>
          <w:rFonts w:ascii="Arial" w:hAnsi="Arial" w:cs="Arial"/>
          <w:i/>
          <w:iCs/>
          <w:noProof/>
          <w:sz w:val="22"/>
          <w:szCs w:val="20"/>
          <w:lang w:val="es-MX"/>
        </w:rPr>
        <w:t>Educational Sciences: Theory &amp; Practice</w:t>
      </w:r>
      <w:r w:rsidRPr="00793208">
        <w:rPr>
          <w:rFonts w:ascii="Arial" w:hAnsi="Arial" w:cs="Arial"/>
          <w:noProof/>
          <w:sz w:val="22"/>
          <w:szCs w:val="20"/>
          <w:lang w:val="es-MX"/>
        </w:rPr>
        <w:t>. DOI: 10.12738/estp.2013.3.1398.</w:t>
      </w:r>
    </w:p>
    <w:p w:rsidR="00793208" w:rsidRPr="00793208" w:rsidRDefault="00793208" w:rsidP="00793208">
      <w:pPr>
        <w:pStyle w:val="Bibliografa"/>
        <w:jc w:val="both"/>
        <w:rPr>
          <w:rFonts w:ascii="Arial" w:hAnsi="Arial" w:cs="Arial"/>
          <w:noProof/>
          <w:sz w:val="22"/>
          <w:szCs w:val="20"/>
        </w:rPr>
      </w:pPr>
    </w:p>
    <w:p w:rsidR="00793208" w:rsidRPr="00793208" w:rsidRDefault="00793208" w:rsidP="00793208">
      <w:pPr>
        <w:pStyle w:val="Bibliografa"/>
        <w:jc w:val="both"/>
        <w:rPr>
          <w:rFonts w:ascii="Arial" w:hAnsi="Arial" w:cs="Arial"/>
          <w:noProof/>
          <w:sz w:val="22"/>
          <w:szCs w:val="20"/>
        </w:rPr>
      </w:pPr>
      <w:r w:rsidRPr="00793208">
        <w:rPr>
          <w:rFonts w:ascii="Arial" w:hAnsi="Arial" w:cs="Arial"/>
          <w:noProof/>
          <w:sz w:val="22"/>
          <w:szCs w:val="20"/>
        </w:rPr>
        <w:t xml:space="preserve">Universidad Pedagógica y Tecnológica de Colombia. (2016). </w:t>
      </w:r>
      <w:r w:rsidRPr="00793208">
        <w:rPr>
          <w:rFonts w:ascii="Arial" w:hAnsi="Arial" w:cs="Arial"/>
          <w:i/>
          <w:iCs/>
          <w:noProof/>
          <w:sz w:val="22"/>
          <w:szCs w:val="20"/>
        </w:rPr>
        <w:t>Boletin en cifras 2013 y 2014.</w:t>
      </w:r>
      <w:r w:rsidRPr="00793208">
        <w:rPr>
          <w:rFonts w:ascii="Arial" w:hAnsi="Arial" w:cs="Arial"/>
          <w:noProof/>
          <w:sz w:val="22"/>
          <w:szCs w:val="20"/>
        </w:rPr>
        <w:t xml:space="preserve"> Recuperado de http://www.uptc.edu.co/</w:t>
      </w:r>
      <w:r>
        <w:rPr>
          <w:rFonts w:ascii="Arial" w:hAnsi="Arial" w:cs="Arial"/>
          <w:noProof/>
          <w:sz w:val="22"/>
          <w:szCs w:val="20"/>
        </w:rPr>
        <w:t xml:space="preserve"> </w:t>
      </w:r>
      <w:r w:rsidRPr="00793208">
        <w:rPr>
          <w:rFonts w:ascii="Arial" w:hAnsi="Arial" w:cs="Arial"/>
          <w:noProof/>
          <w:sz w:val="22"/>
          <w:szCs w:val="20"/>
        </w:rPr>
        <w:t>universidad/acerca _de/inf_comunidad.</w:t>
      </w:r>
    </w:p>
    <w:p w:rsidR="00850906" w:rsidRDefault="00850906" w:rsidP="000039AC">
      <w:pPr>
        <w:pStyle w:val="Textoindependiente2"/>
        <w:rPr>
          <w:sz w:val="22"/>
          <w:szCs w:val="22"/>
        </w:rPr>
      </w:pPr>
    </w:p>
    <w:p w:rsidR="000039AC" w:rsidRPr="0052430E" w:rsidRDefault="000039AC" w:rsidP="00685341">
      <w:pPr>
        <w:pStyle w:val="Textoindependiente2"/>
        <w:rPr>
          <w:sz w:val="22"/>
          <w:szCs w:val="22"/>
        </w:rPr>
      </w:pPr>
      <w:r w:rsidRPr="0052430E">
        <w:rPr>
          <w:sz w:val="22"/>
          <w:szCs w:val="22"/>
        </w:rPr>
        <w:lastRenderedPageBreak/>
        <w:t>Sobre los autores</w:t>
      </w:r>
    </w:p>
    <w:p w:rsidR="000039AC" w:rsidRPr="0052430E" w:rsidRDefault="000039AC" w:rsidP="00685341">
      <w:pPr>
        <w:pStyle w:val="Textoindependiente2"/>
        <w:rPr>
          <w:sz w:val="22"/>
          <w:szCs w:val="22"/>
        </w:rPr>
      </w:pPr>
    </w:p>
    <w:p w:rsidR="00EE31BB" w:rsidRPr="00EE31BB" w:rsidRDefault="00EE31BB" w:rsidP="00EE31BB">
      <w:pPr>
        <w:pStyle w:val="Subttulo"/>
        <w:spacing w:after="0"/>
        <w:jc w:val="both"/>
        <w:rPr>
          <w:rFonts w:ascii="Arial" w:hAnsi="Arial" w:cs="Arial"/>
          <w:b/>
          <w:sz w:val="22"/>
          <w:szCs w:val="22"/>
        </w:rPr>
      </w:pPr>
      <w:r w:rsidRPr="00EE31BB">
        <w:rPr>
          <w:rFonts w:ascii="Arial" w:hAnsi="Arial" w:cs="Arial"/>
          <w:b/>
          <w:sz w:val="22"/>
          <w:szCs w:val="22"/>
          <w:lang w:val="pt-BR"/>
        </w:rPr>
        <w:t xml:space="preserve">Paola Andrea Chinome </w:t>
      </w:r>
      <w:r w:rsidRPr="00EE31BB">
        <w:rPr>
          <w:rFonts w:ascii="Arial" w:hAnsi="Arial" w:cs="Arial"/>
          <w:b/>
          <w:sz w:val="22"/>
          <w:szCs w:val="22"/>
          <w:lang w:val="es-CO"/>
        </w:rPr>
        <w:t>Becerra</w:t>
      </w:r>
      <w:r w:rsidRPr="00EE31BB">
        <w:rPr>
          <w:rFonts w:ascii="Arial" w:hAnsi="Arial" w:cs="Arial"/>
          <w:b/>
          <w:sz w:val="22"/>
          <w:szCs w:val="22"/>
        </w:rPr>
        <w:t xml:space="preserve"> </w:t>
      </w:r>
    </w:p>
    <w:p w:rsidR="00EE31BB" w:rsidRPr="00EE31BB" w:rsidRDefault="00EE31BB" w:rsidP="00EE31BB">
      <w:pPr>
        <w:jc w:val="both"/>
        <w:rPr>
          <w:rFonts w:ascii="Arial" w:hAnsi="Arial" w:cs="Arial"/>
          <w:sz w:val="22"/>
          <w:szCs w:val="22"/>
        </w:rPr>
      </w:pPr>
      <w:r w:rsidRPr="00EE31BB">
        <w:rPr>
          <w:rFonts w:ascii="Arial" w:hAnsi="Arial" w:cs="Arial"/>
          <w:sz w:val="22"/>
          <w:szCs w:val="22"/>
        </w:rPr>
        <w:t xml:space="preserve">Ingeniero Industrial (Universidad Pedagógica y Tecnológica de Colombia - UPTC). </w:t>
      </w:r>
      <w:r w:rsidRPr="00EE31BB">
        <w:rPr>
          <w:rFonts w:ascii="Arial" w:hAnsi="Arial" w:cs="Arial"/>
          <w:sz w:val="22"/>
          <w:szCs w:val="22"/>
          <w:lang w:val="pt-BR"/>
        </w:rPr>
        <w:t xml:space="preserve">Especialista </w:t>
      </w:r>
      <w:proofErr w:type="spellStart"/>
      <w:r w:rsidRPr="00EE31BB">
        <w:rPr>
          <w:rFonts w:ascii="Arial" w:hAnsi="Arial" w:cs="Arial"/>
          <w:sz w:val="22"/>
          <w:szCs w:val="22"/>
          <w:lang w:val="pt-BR"/>
        </w:rPr>
        <w:t>en</w:t>
      </w:r>
      <w:proofErr w:type="spellEnd"/>
      <w:r w:rsidRPr="00EE31BB">
        <w:rPr>
          <w:rFonts w:ascii="Arial" w:hAnsi="Arial" w:cs="Arial"/>
          <w:sz w:val="22"/>
          <w:szCs w:val="22"/>
          <w:lang w:val="pt-BR"/>
        </w:rPr>
        <w:t xml:space="preserve"> </w:t>
      </w:r>
      <w:r w:rsidRPr="00EE31BB">
        <w:rPr>
          <w:rFonts w:ascii="Arial" w:hAnsi="Arial" w:cs="Arial"/>
          <w:sz w:val="22"/>
          <w:szCs w:val="22"/>
          <w:lang w:val="es-CO"/>
        </w:rPr>
        <w:t>Finanzas</w:t>
      </w:r>
      <w:r w:rsidRPr="00EE31BB">
        <w:rPr>
          <w:rFonts w:ascii="Arial" w:hAnsi="Arial" w:cs="Arial"/>
          <w:sz w:val="22"/>
          <w:szCs w:val="22"/>
          <w:lang w:val="pt-BR"/>
        </w:rPr>
        <w:t xml:space="preserve"> </w:t>
      </w:r>
      <w:r w:rsidRPr="00EE31BB">
        <w:rPr>
          <w:rFonts w:ascii="Arial" w:hAnsi="Arial" w:cs="Arial"/>
          <w:sz w:val="22"/>
          <w:szCs w:val="22"/>
        </w:rPr>
        <w:t>(UPTC). Actualmente Magister (c) en Ingeniería en la UPTC, Sogamoso, Colombia. paola.chinome@uptc.edu.co</w:t>
      </w:r>
    </w:p>
    <w:p w:rsidR="00EE31BB" w:rsidRPr="00EE31BB" w:rsidRDefault="00EE31BB" w:rsidP="00EE31BB">
      <w:pPr>
        <w:pStyle w:val="Subttulo"/>
        <w:spacing w:after="0"/>
        <w:jc w:val="both"/>
        <w:rPr>
          <w:rFonts w:ascii="Arial" w:hAnsi="Arial" w:cs="Arial"/>
          <w:b/>
          <w:sz w:val="22"/>
          <w:szCs w:val="22"/>
          <w:lang w:val="pt-BR"/>
        </w:rPr>
      </w:pPr>
    </w:p>
    <w:p w:rsidR="00EE31BB" w:rsidRPr="00EE31BB" w:rsidRDefault="00EE31BB" w:rsidP="00EE31BB">
      <w:pPr>
        <w:pStyle w:val="Subttulo"/>
        <w:spacing w:after="0"/>
        <w:jc w:val="both"/>
        <w:rPr>
          <w:rFonts w:ascii="Arial" w:hAnsi="Arial" w:cs="Arial"/>
          <w:b/>
          <w:sz w:val="22"/>
          <w:szCs w:val="22"/>
          <w:lang w:val="pt-BR"/>
        </w:rPr>
      </w:pPr>
      <w:r w:rsidRPr="00EE31BB">
        <w:rPr>
          <w:rFonts w:ascii="Arial" w:hAnsi="Arial" w:cs="Arial"/>
          <w:b/>
          <w:sz w:val="22"/>
          <w:szCs w:val="22"/>
          <w:lang w:val="pt-BR"/>
        </w:rPr>
        <w:t xml:space="preserve">Consuelo Ruiz Cárdenas </w:t>
      </w:r>
    </w:p>
    <w:p w:rsidR="00EE31BB" w:rsidRPr="00EE31BB" w:rsidRDefault="00EE31BB" w:rsidP="00EE31BB">
      <w:pPr>
        <w:jc w:val="both"/>
        <w:rPr>
          <w:rFonts w:ascii="Arial" w:hAnsi="Arial" w:cs="Arial"/>
          <w:sz w:val="22"/>
          <w:szCs w:val="22"/>
        </w:rPr>
      </w:pPr>
      <w:r w:rsidRPr="00EE31BB">
        <w:rPr>
          <w:rFonts w:ascii="Arial" w:hAnsi="Arial" w:cs="Arial"/>
          <w:sz w:val="22"/>
          <w:szCs w:val="22"/>
        </w:rPr>
        <w:t xml:space="preserve">Ingeniero Industrial (Universidad Pedagógica y Tecnológica de Colombia - UPTC). </w:t>
      </w:r>
      <w:r w:rsidRPr="00EE31BB">
        <w:rPr>
          <w:rFonts w:ascii="Arial" w:hAnsi="Arial" w:cs="Arial"/>
          <w:sz w:val="22"/>
          <w:szCs w:val="22"/>
          <w:lang w:val="pt-BR"/>
        </w:rPr>
        <w:t xml:space="preserve">Especialista </w:t>
      </w:r>
      <w:r w:rsidRPr="00EE31BB">
        <w:rPr>
          <w:rFonts w:ascii="Arial" w:hAnsi="Arial" w:cs="Arial"/>
          <w:sz w:val="22"/>
          <w:szCs w:val="22"/>
          <w:lang w:val="es-CO"/>
        </w:rPr>
        <w:t>en</w:t>
      </w:r>
      <w:r w:rsidRPr="00EE31BB">
        <w:rPr>
          <w:rFonts w:ascii="Arial" w:hAnsi="Arial" w:cs="Arial"/>
          <w:sz w:val="22"/>
          <w:szCs w:val="22"/>
          <w:lang w:val="pt-BR"/>
        </w:rPr>
        <w:t xml:space="preserve"> </w:t>
      </w:r>
      <w:r w:rsidRPr="00EE31BB">
        <w:rPr>
          <w:rFonts w:ascii="Arial" w:hAnsi="Arial" w:cs="Arial"/>
          <w:sz w:val="22"/>
          <w:szCs w:val="22"/>
          <w:lang w:val="es-CO"/>
        </w:rPr>
        <w:t>Gestión</w:t>
      </w:r>
      <w:r w:rsidRPr="00EE31BB">
        <w:rPr>
          <w:rFonts w:ascii="Arial" w:hAnsi="Arial" w:cs="Arial"/>
          <w:sz w:val="22"/>
          <w:szCs w:val="22"/>
          <w:lang w:val="pt-BR"/>
        </w:rPr>
        <w:t xml:space="preserve"> Ambiental </w:t>
      </w:r>
      <w:r w:rsidRPr="00EE31BB">
        <w:rPr>
          <w:rFonts w:ascii="Arial" w:hAnsi="Arial" w:cs="Arial"/>
          <w:sz w:val="22"/>
          <w:szCs w:val="22"/>
        </w:rPr>
        <w:t xml:space="preserve">(UPTC). Magister en Desarrollo empresarial agropecuario (Universidad Nacional de Colombia). </w:t>
      </w:r>
      <w:r w:rsidRPr="00EE31BB">
        <w:rPr>
          <w:rFonts w:ascii="Arial" w:hAnsi="Arial" w:cs="Arial"/>
          <w:sz w:val="22"/>
          <w:szCs w:val="22"/>
          <w:shd w:val="clear" w:color="auto" w:fill="FFFFFF"/>
        </w:rPr>
        <w:t xml:space="preserve">Actualmente es Docente Asistente de la Escuela de Ingeniería Industrial en la UPTC </w:t>
      </w:r>
      <w:r w:rsidRPr="00EE31BB">
        <w:rPr>
          <w:rFonts w:ascii="Arial" w:hAnsi="Arial" w:cs="Arial"/>
          <w:sz w:val="22"/>
          <w:szCs w:val="22"/>
        </w:rPr>
        <w:t>Sogamoso, Colombia. consuelo.ruiz@uptc.edu.co</w:t>
      </w:r>
    </w:p>
    <w:p w:rsidR="00EE31BB" w:rsidRPr="00EE31BB" w:rsidRDefault="00EE31BB" w:rsidP="00EE31BB">
      <w:pPr>
        <w:jc w:val="both"/>
        <w:rPr>
          <w:rFonts w:ascii="Arial" w:hAnsi="Arial" w:cs="Arial"/>
          <w:sz w:val="22"/>
          <w:szCs w:val="22"/>
          <w:lang w:val="pt-BR"/>
        </w:rPr>
      </w:pPr>
      <w:r w:rsidRPr="00EE31BB">
        <w:rPr>
          <w:rFonts w:ascii="Arial" w:hAnsi="Arial" w:cs="Arial"/>
          <w:sz w:val="22"/>
          <w:szCs w:val="22"/>
          <w:lang w:val="pt-BR"/>
        </w:rPr>
        <w:t xml:space="preserve">           </w:t>
      </w:r>
    </w:p>
    <w:p w:rsidR="00EE31BB" w:rsidRPr="00EE31BB" w:rsidRDefault="00EE31BB" w:rsidP="00EE31BB">
      <w:pPr>
        <w:jc w:val="both"/>
        <w:rPr>
          <w:rFonts w:ascii="Arial" w:hAnsi="Arial" w:cs="Arial"/>
          <w:sz w:val="22"/>
          <w:szCs w:val="22"/>
          <w:lang w:val="pt-BR"/>
        </w:rPr>
      </w:pPr>
      <w:r w:rsidRPr="00EE31BB">
        <w:rPr>
          <w:rFonts w:ascii="Arial" w:hAnsi="Arial" w:cs="Arial"/>
          <w:sz w:val="22"/>
          <w:szCs w:val="22"/>
          <w:lang w:val="pt-BR"/>
        </w:rPr>
        <w:t xml:space="preserve">                                                                    </w:t>
      </w:r>
    </w:p>
    <w:p w:rsidR="00EE31BB" w:rsidRPr="00EE31BB" w:rsidRDefault="00EE31BB" w:rsidP="00EE31BB">
      <w:pPr>
        <w:pStyle w:val="Subttulo"/>
        <w:spacing w:after="0"/>
        <w:jc w:val="both"/>
        <w:rPr>
          <w:rFonts w:ascii="Arial" w:hAnsi="Arial" w:cs="Arial"/>
          <w:b/>
          <w:sz w:val="22"/>
          <w:szCs w:val="22"/>
          <w:lang w:val="pt-BR"/>
        </w:rPr>
      </w:pPr>
      <w:r w:rsidRPr="00EE31BB">
        <w:rPr>
          <w:rFonts w:ascii="Arial" w:hAnsi="Arial" w:cs="Arial"/>
          <w:b/>
          <w:sz w:val="22"/>
          <w:szCs w:val="22"/>
          <w:lang w:val="pt-BR"/>
        </w:rPr>
        <w:t>Liliana Fernández Samacá</w:t>
      </w:r>
    </w:p>
    <w:p w:rsidR="00EE31BB" w:rsidRPr="00EE31BB" w:rsidRDefault="00EE31BB" w:rsidP="00EE31BB">
      <w:pPr>
        <w:jc w:val="both"/>
        <w:rPr>
          <w:rFonts w:ascii="Arial" w:hAnsi="Arial" w:cs="Arial"/>
          <w:sz w:val="22"/>
          <w:szCs w:val="22"/>
        </w:rPr>
      </w:pPr>
      <w:r w:rsidRPr="00EE31BB">
        <w:rPr>
          <w:rFonts w:ascii="Arial" w:hAnsi="Arial" w:cs="Arial"/>
          <w:sz w:val="22"/>
          <w:szCs w:val="22"/>
        </w:rPr>
        <w:t xml:space="preserve">Ingeniero Electrónico de la Universidad Pedagógica y Tecnológica de Colombia (UPTC) y </w:t>
      </w:r>
      <w:r w:rsidRPr="00EE31BB">
        <w:rPr>
          <w:rFonts w:ascii="Arial" w:hAnsi="Arial" w:cs="Arial"/>
          <w:sz w:val="22"/>
          <w:szCs w:val="22"/>
          <w:shd w:val="clear" w:color="auto" w:fill="FFFFFF"/>
        </w:rPr>
        <w:t xml:space="preserve">Especialista en Automatización Industrial </w:t>
      </w:r>
      <w:r w:rsidRPr="00EE31BB">
        <w:rPr>
          <w:rFonts w:ascii="Arial" w:hAnsi="Arial" w:cs="Arial"/>
          <w:sz w:val="22"/>
          <w:szCs w:val="22"/>
        </w:rPr>
        <w:t xml:space="preserve">de la misma Universidad. Obtuvo el título de </w:t>
      </w:r>
      <w:r w:rsidRPr="00EE31BB">
        <w:rPr>
          <w:rFonts w:ascii="Arial" w:hAnsi="Arial" w:cs="Arial"/>
          <w:sz w:val="22"/>
          <w:szCs w:val="22"/>
          <w:shd w:val="clear" w:color="auto" w:fill="FFFFFF"/>
        </w:rPr>
        <w:t xml:space="preserve">Magíster en Ingeniería de la Universidad Nacional de Colombia y el de  </w:t>
      </w:r>
      <w:r w:rsidRPr="00EE31BB">
        <w:rPr>
          <w:rFonts w:ascii="Arial" w:hAnsi="Arial" w:cs="Arial"/>
          <w:sz w:val="22"/>
          <w:szCs w:val="22"/>
        </w:rPr>
        <w:t xml:space="preserve"> </w:t>
      </w:r>
      <w:r w:rsidRPr="00EE31BB">
        <w:rPr>
          <w:rFonts w:ascii="Arial" w:hAnsi="Arial" w:cs="Arial"/>
          <w:sz w:val="22"/>
          <w:szCs w:val="22"/>
          <w:shd w:val="clear" w:color="auto" w:fill="FFFFFF"/>
        </w:rPr>
        <w:t xml:space="preserve">Doctora en Ingeniería de la Universidad del Valle. Actualmente es Docente Asistente de la Escuela de Ingeniería Electrónica en la UPTC </w:t>
      </w:r>
      <w:r w:rsidRPr="00EE31BB">
        <w:rPr>
          <w:rFonts w:ascii="Arial" w:hAnsi="Arial" w:cs="Arial"/>
          <w:sz w:val="22"/>
          <w:szCs w:val="22"/>
        </w:rPr>
        <w:t>Sogamoso, Colombia. liliana.fernandez@uptc.edu.co</w:t>
      </w:r>
    </w:p>
    <w:p w:rsidR="007C363D" w:rsidRPr="0052430E" w:rsidRDefault="007C363D" w:rsidP="007C363D">
      <w:pPr>
        <w:jc w:val="both"/>
        <w:rPr>
          <w:rFonts w:ascii="Arial" w:hAnsi="Arial" w:cs="Arial"/>
          <w:sz w:val="22"/>
          <w:szCs w:val="22"/>
        </w:rPr>
      </w:pPr>
      <w:bookmarkStart w:id="0" w:name="_GoBack"/>
      <w:bookmarkEnd w:id="0"/>
    </w:p>
    <w:sectPr w:rsidR="007C363D" w:rsidRPr="0052430E" w:rsidSect="004C2A7E">
      <w:type w:val="continuous"/>
      <w:pgSz w:w="12247" w:h="15819" w:code="1"/>
      <w:pgMar w:top="1418" w:right="1418" w:bottom="1701" w:left="1418" w:header="567" w:footer="1417" w:gutter="0"/>
      <w:cols w:num="2" w:space="68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4E7BE8"/>
    <w:multiLevelType w:val="multilevel"/>
    <w:tmpl w:val="6A0E0F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DE1NDAzMrU0tzAwNDVQ0lEKTi0uzszPAykwqgUAJddMQiwAAAA="/>
  </w:docVars>
  <w:rsids>
    <w:rsidRoot w:val="00D91D8B"/>
    <w:rsid w:val="000039AC"/>
    <w:rsid w:val="00020648"/>
    <w:rsid w:val="000208C5"/>
    <w:rsid w:val="00034ABD"/>
    <w:rsid w:val="00036B9B"/>
    <w:rsid w:val="00037D8D"/>
    <w:rsid w:val="00043465"/>
    <w:rsid w:val="00052D72"/>
    <w:rsid w:val="00072927"/>
    <w:rsid w:val="000A5D96"/>
    <w:rsid w:val="000A67B0"/>
    <w:rsid w:val="000B4516"/>
    <w:rsid w:val="000E5A75"/>
    <w:rsid w:val="000F343F"/>
    <w:rsid w:val="000F607A"/>
    <w:rsid w:val="00107A95"/>
    <w:rsid w:val="00116DD7"/>
    <w:rsid w:val="00133651"/>
    <w:rsid w:val="00137B4E"/>
    <w:rsid w:val="00140C30"/>
    <w:rsid w:val="00142041"/>
    <w:rsid w:val="00146E9C"/>
    <w:rsid w:val="00164539"/>
    <w:rsid w:val="001A346D"/>
    <w:rsid w:val="001C25A7"/>
    <w:rsid w:val="001D08A4"/>
    <w:rsid w:val="002008B9"/>
    <w:rsid w:val="002031F3"/>
    <w:rsid w:val="00230683"/>
    <w:rsid w:val="002311BB"/>
    <w:rsid w:val="002314FA"/>
    <w:rsid w:val="00235AAE"/>
    <w:rsid w:val="002405EE"/>
    <w:rsid w:val="00241DC9"/>
    <w:rsid w:val="00262BBA"/>
    <w:rsid w:val="0026330E"/>
    <w:rsid w:val="00266E6B"/>
    <w:rsid w:val="00270D98"/>
    <w:rsid w:val="002753E2"/>
    <w:rsid w:val="00277986"/>
    <w:rsid w:val="00280AF2"/>
    <w:rsid w:val="00296E11"/>
    <w:rsid w:val="002A6EB6"/>
    <w:rsid w:val="002C3613"/>
    <w:rsid w:val="002D4844"/>
    <w:rsid w:val="003302A9"/>
    <w:rsid w:val="00340E5B"/>
    <w:rsid w:val="003935E7"/>
    <w:rsid w:val="003A1E4C"/>
    <w:rsid w:val="003A29F1"/>
    <w:rsid w:val="003C3AED"/>
    <w:rsid w:val="003D2EF0"/>
    <w:rsid w:val="003E2A2F"/>
    <w:rsid w:val="003F3EF0"/>
    <w:rsid w:val="003F5678"/>
    <w:rsid w:val="003F57DD"/>
    <w:rsid w:val="00420920"/>
    <w:rsid w:val="00443D10"/>
    <w:rsid w:val="004540C5"/>
    <w:rsid w:val="004815E5"/>
    <w:rsid w:val="0049520B"/>
    <w:rsid w:val="004A7B1D"/>
    <w:rsid w:val="004B0463"/>
    <w:rsid w:val="004C2A7E"/>
    <w:rsid w:val="005043DC"/>
    <w:rsid w:val="00507D10"/>
    <w:rsid w:val="00510EAA"/>
    <w:rsid w:val="00521D09"/>
    <w:rsid w:val="0052390A"/>
    <w:rsid w:val="0052430E"/>
    <w:rsid w:val="00531E4E"/>
    <w:rsid w:val="005366AF"/>
    <w:rsid w:val="00561B46"/>
    <w:rsid w:val="00577AE9"/>
    <w:rsid w:val="00582B8E"/>
    <w:rsid w:val="00583959"/>
    <w:rsid w:val="00584683"/>
    <w:rsid w:val="0059216F"/>
    <w:rsid w:val="005A0B07"/>
    <w:rsid w:val="005B009F"/>
    <w:rsid w:val="005D0172"/>
    <w:rsid w:val="005D3ECD"/>
    <w:rsid w:val="005D785C"/>
    <w:rsid w:val="005F326C"/>
    <w:rsid w:val="00605D65"/>
    <w:rsid w:val="0061600D"/>
    <w:rsid w:val="00633964"/>
    <w:rsid w:val="0063741C"/>
    <w:rsid w:val="006405F5"/>
    <w:rsid w:val="00657FBE"/>
    <w:rsid w:val="00672478"/>
    <w:rsid w:val="006727BB"/>
    <w:rsid w:val="00683240"/>
    <w:rsid w:val="00685341"/>
    <w:rsid w:val="006B5450"/>
    <w:rsid w:val="006C3CBE"/>
    <w:rsid w:val="006C424B"/>
    <w:rsid w:val="006D1084"/>
    <w:rsid w:val="006D1843"/>
    <w:rsid w:val="006F1EB6"/>
    <w:rsid w:val="006F1F61"/>
    <w:rsid w:val="006F286F"/>
    <w:rsid w:val="006F646D"/>
    <w:rsid w:val="007067AB"/>
    <w:rsid w:val="00707EC7"/>
    <w:rsid w:val="00731F91"/>
    <w:rsid w:val="00734962"/>
    <w:rsid w:val="00740BFD"/>
    <w:rsid w:val="00765B28"/>
    <w:rsid w:val="00765D0B"/>
    <w:rsid w:val="00772E81"/>
    <w:rsid w:val="00773548"/>
    <w:rsid w:val="00776232"/>
    <w:rsid w:val="00776B39"/>
    <w:rsid w:val="00777B99"/>
    <w:rsid w:val="00785007"/>
    <w:rsid w:val="00793208"/>
    <w:rsid w:val="00793F86"/>
    <w:rsid w:val="00795FDF"/>
    <w:rsid w:val="007A59D9"/>
    <w:rsid w:val="007A5E75"/>
    <w:rsid w:val="007C0CAB"/>
    <w:rsid w:val="007C1A15"/>
    <w:rsid w:val="007C211A"/>
    <w:rsid w:val="007C363D"/>
    <w:rsid w:val="007D4B88"/>
    <w:rsid w:val="007D6449"/>
    <w:rsid w:val="007D7E2B"/>
    <w:rsid w:val="007E014D"/>
    <w:rsid w:val="007E1B04"/>
    <w:rsid w:val="00821FF9"/>
    <w:rsid w:val="00831DAC"/>
    <w:rsid w:val="00847DB6"/>
    <w:rsid w:val="00850906"/>
    <w:rsid w:val="00850DCD"/>
    <w:rsid w:val="00854534"/>
    <w:rsid w:val="0086023A"/>
    <w:rsid w:val="008620EF"/>
    <w:rsid w:val="008622FA"/>
    <w:rsid w:val="00862FCA"/>
    <w:rsid w:val="00887F07"/>
    <w:rsid w:val="008B73F5"/>
    <w:rsid w:val="008C6912"/>
    <w:rsid w:val="008D326C"/>
    <w:rsid w:val="008D4783"/>
    <w:rsid w:val="008F09E0"/>
    <w:rsid w:val="008F5938"/>
    <w:rsid w:val="0092020C"/>
    <w:rsid w:val="00922F4B"/>
    <w:rsid w:val="00971FBC"/>
    <w:rsid w:val="00972846"/>
    <w:rsid w:val="009769F8"/>
    <w:rsid w:val="00990F19"/>
    <w:rsid w:val="009A5F00"/>
    <w:rsid w:val="009B0B97"/>
    <w:rsid w:val="009B408B"/>
    <w:rsid w:val="009D5BD9"/>
    <w:rsid w:val="009E0EDF"/>
    <w:rsid w:val="009F0693"/>
    <w:rsid w:val="00A43E2E"/>
    <w:rsid w:val="00A55BAA"/>
    <w:rsid w:val="00A65A49"/>
    <w:rsid w:val="00A94F11"/>
    <w:rsid w:val="00AA3B36"/>
    <w:rsid w:val="00AC4C9A"/>
    <w:rsid w:val="00AD13BE"/>
    <w:rsid w:val="00AD5393"/>
    <w:rsid w:val="00B27A88"/>
    <w:rsid w:val="00B27D93"/>
    <w:rsid w:val="00B358B4"/>
    <w:rsid w:val="00B614DD"/>
    <w:rsid w:val="00B65EBE"/>
    <w:rsid w:val="00B77E97"/>
    <w:rsid w:val="00BA732D"/>
    <w:rsid w:val="00BB112A"/>
    <w:rsid w:val="00BB560A"/>
    <w:rsid w:val="00BC0B03"/>
    <w:rsid w:val="00BC595A"/>
    <w:rsid w:val="00BF4A30"/>
    <w:rsid w:val="00C018BB"/>
    <w:rsid w:val="00C12C4A"/>
    <w:rsid w:val="00C31CAB"/>
    <w:rsid w:val="00C70C54"/>
    <w:rsid w:val="00C854EF"/>
    <w:rsid w:val="00C85583"/>
    <w:rsid w:val="00C87F76"/>
    <w:rsid w:val="00CA6A2C"/>
    <w:rsid w:val="00CB6336"/>
    <w:rsid w:val="00CC67E2"/>
    <w:rsid w:val="00CE043B"/>
    <w:rsid w:val="00D154CE"/>
    <w:rsid w:val="00D43064"/>
    <w:rsid w:val="00D43F9D"/>
    <w:rsid w:val="00D465AC"/>
    <w:rsid w:val="00D50443"/>
    <w:rsid w:val="00D73E50"/>
    <w:rsid w:val="00D74B06"/>
    <w:rsid w:val="00D80FE7"/>
    <w:rsid w:val="00D82688"/>
    <w:rsid w:val="00D86DAC"/>
    <w:rsid w:val="00D91D8B"/>
    <w:rsid w:val="00D94290"/>
    <w:rsid w:val="00DB22AB"/>
    <w:rsid w:val="00DB5E88"/>
    <w:rsid w:val="00DD2E75"/>
    <w:rsid w:val="00DD584D"/>
    <w:rsid w:val="00DD5F24"/>
    <w:rsid w:val="00DE540B"/>
    <w:rsid w:val="00E0402A"/>
    <w:rsid w:val="00E1222D"/>
    <w:rsid w:val="00E56F44"/>
    <w:rsid w:val="00E62579"/>
    <w:rsid w:val="00EB6D54"/>
    <w:rsid w:val="00ED20AF"/>
    <w:rsid w:val="00EE31BB"/>
    <w:rsid w:val="00EF3759"/>
    <w:rsid w:val="00EF7D97"/>
    <w:rsid w:val="00F02DC5"/>
    <w:rsid w:val="00F111C1"/>
    <w:rsid w:val="00F1554E"/>
    <w:rsid w:val="00F319AF"/>
    <w:rsid w:val="00F35919"/>
    <w:rsid w:val="00F43969"/>
    <w:rsid w:val="00F80170"/>
    <w:rsid w:val="00F81B63"/>
    <w:rsid w:val="00F8486F"/>
    <w:rsid w:val="00F86F44"/>
    <w:rsid w:val="00F93CD0"/>
    <w:rsid w:val="00FC53F7"/>
    <w:rsid w:val="00FD7AD3"/>
    <w:rsid w:val="00FE05B0"/>
    <w:rsid w:val="00FF0280"/>
    <w:rsid w:val="00FF26DD"/>
    <w:rsid w:val="00FF633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D8B"/>
    <w:pPr>
      <w:spacing w:after="0" w:line="240" w:lineRule="auto"/>
    </w:pPr>
    <w:rPr>
      <w:rFonts w:ascii="Calibri" w:eastAsia="Times New Roman" w:hAnsi="Calibri" w:cs="Times New Roman"/>
      <w:sz w:val="24"/>
      <w:szCs w:val="24"/>
      <w:lang w:val="es-ES" w:eastAsia="es-ES"/>
    </w:rPr>
  </w:style>
  <w:style w:type="paragraph" w:styleId="Ttulo2">
    <w:name w:val="heading 2"/>
    <w:basedOn w:val="Normal"/>
    <w:next w:val="Normal"/>
    <w:link w:val="Ttulo2Car"/>
    <w:uiPriority w:val="9"/>
    <w:unhideWhenUsed/>
    <w:qFormat/>
    <w:rsid w:val="00D91D8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aliases w:val="Autor"/>
    <w:basedOn w:val="Normal"/>
    <w:next w:val="Normal"/>
    <w:link w:val="SubttuloCar"/>
    <w:uiPriority w:val="11"/>
    <w:qFormat/>
    <w:rsid w:val="00D91D8B"/>
    <w:pPr>
      <w:spacing w:after="60"/>
      <w:jc w:val="center"/>
      <w:outlineLvl w:val="1"/>
    </w:pPr>
    <w:rPr>
      <w:sz w:val="20"/>
    </w:rPr>
  </w:style>
  <w:style w:type="character" w:customStyle="1" w:styleId="SubttuloCar">
    <w:name w:val="Subtítulo Car"/>
    <w:aliases w:val="Autor Car"/>
    <w:basedOn w:val="Fuentedeprrafopredeter"/>
    <w:link w:val="Subttulo"/>
    <w:uiPriority w:val="11"/>
    <w:rsid w:val="00D91D8B"/>
    <w:rPr>
      <w:rFonts w:ascii="Calibri" w:eastAsia="Times New Roman" w:hAnsi="Calibri" w:cs="Times New Roman"/>
      <w:sz w:val="20"/>
      <w:szCs w:val="24"/>
      <w:lang w:val="es-ES" w:eastAsia="es-ES"/>
    </w:rPr>
  </w:style>
  <w:style w:type="paragraph" w:styleId="HTMLconformatoprevio">
    <w:name w:val="HTML Preformatted"/>
    <w:basedOn w:val="Normal"/>
    <w:link w:val="HTMLconformatoprevioCar"/>
    <w:uiPriority w:val="99"/>
    <w:semiHidden/>
    <w:unhideWhenUsed/>
    <w:rsid w:val="00D91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semiHidden/>
    <w:rsid w:val="00D91D8B"/>
    <w:rPr>
      <w:rFonts w:ascii="Courier New" w:eastAsia="Times New Roman" w:hAnsi="Courier New" w:cs="Courier New"/>
      <w:sz w:val="20"/>
      <w:szCs w:val="20"/>
      <w:lang w:val="es-CO" w:eastAsia="es-CO"/>
    </w:rPr>
  </w:style>
  <w:style w:type="character" w:styleId="Refdecomentario">
    <w:name w:val="annotation reference"/>
    <w:basedOn w:val="Fuentedeprrafopredeter"/>
    <w:uiPriority w:val="99"/>
    <w:semiHidden/>
    <w:unhideWhenUsed/>
    <w:rsid w:val="00D91D8B"/>
    <w:rPr>
      <w:sz w:val="16"/>
      <w:szCs w:val="16"/>
    </w:rPr>
  </w:style>
  <w:style w:type="paragraph" w:styleId="Textocomentario">
    <w:name w:val="annotation text"/>
    <w:basedOn w:val="Normal"/>
    <w:link w:val="TextocomentarioCar"/>
    <w:uiPriority w:val="99"/>
    <w:semiHidden/>
    <w:unhideWhenUsed/>
    <w:rsid w:val="00D91D8B"/>
    <w:rPr>
      <w:sz w:val="20"/>
      <w:szCs w:val="20"/>
    </w:rPr>
  </w:style>
  <w:style w:type="character" w:customStyle="1" w:styleId="TextocomentarioCar">
    <w:name w:val="Texto comentario Car"/>
    <w:basedOn w:val="Fuentedeprrafopredeter"/>
    <w:link w:val="Textocomentario"/>
    <w:uiPriority w:val="99"/>
    <w:semiHidden/>
    <w:rsid w:val="00D91D8B"/>
    <w:rPr>
      <w:rFonts w:ascii="Calibri" w:eastAsia="Times New Roman" w:hAnsi="Calibri" w:cs="Times New Roman"/>
      <w:sz w:val="20"/>
      <w:szCs w:val="20"/>
      <w:lang w:val="es-ES" w:eastAsia="es-ES"/>
    </w:rPr>
  </w:style>
  <w:style w:type="paragraph" w:styleId="Textodeglobo">
    <w:name w:val="Balloon Text"/>
    <w:basedOn w:val="Normal"/>
    <w:link w:val="TextodegloboCar"/>
    <w:uiPriority w:val="99"/>
    <w:semiHidden/>
    <w:unhideWhenUsed/>
    <w:rsid w:val="00D91D8B"/>
    <w:rPr>
      <w:rFonts w:ascii="Tahoma" w:hAnsi="Tahoma" w:cs="Tahoma"/>
      <w:sz w:val="16"/>
      <w:szCs w:val="16"/>
    </w:rPr>
  </w:style>
  <w:style w:type="character" w:customStyle="1" w:styleId="TextodegloboCar">
    <w:name w:val="Texto de globo Car"/>
    <w:basedOn w:val="Fuentedeprrafopredeter"/>
    <w:link w:val="Textodeglobo"/>
    <w:uiPriority w:val="99"/>
    <w:semiHidden/>
    <w:rsid w:val="00D91D8B"/>
    <w:rPr>
      <w:rFonts w:ascii="Tahoma" w:eastAsia="Times New Roman" w:hAnsi="Tahoma" w:cs="Tahoma"/>
      <w:sz w:val="16"/>
      <w:szCs w:val="16"/>
      <w:lang w:val="es-ES" w:eastAsia="es-ES"/>
    </w:rPr>
  </w:style>
  <w:style w:type="paragraph" w:styleId="Textoindependiente2">
    <w:name w:val="Body Text 2"/>
    <w:basedOn w:val="Normal"/>
    <w:link w:val="Textoindependiente2Car"/>
    <w:rsid w:val="00D91D8B"/>
    <w:pPr>
      <w:jc w:val="both"/>
    </w:pPr>
    <w:rPr>
      <w:rFonts w:ascii="Arial" w:hAnsi="Arial" w:cs="Arial"/>
      <w:sz w:val="20"/>
    </w:rPr>
  </w:style>
  <w:style w:type="character" w:customStyle="1" w:styleId="Textoindependiente2Car">
    <w:name w:val="Texto independiente 2 Car"/>
    <w:basedOn w:val="Fuentedeprrafopredeter"/>
    <w:link w:val="Textoindependiente2"/>
    <w:rsid w:val="00D91D8B"/>
    <w:rPr>
      <w:rFonts w:ascii="Arial" w:eastAsia="Times New Roman" w:hAnsi="Arial" w:cs="Arial"/>
      <w:sz w:val="20"/>
      <w:szCs w:val="24"/>
      <w:lang w:val="es-ES" w:eastAsia="es-ES"/>
    </w:rPr>
  </w:style>
  <w:style w:type="paragraph" w:styleId="Sinespaciado">
    <w:name w:val="No Spacing"/>
    <w:aliases w:val="Subtitulo 1"/>
    <w:link w:val="SinespaciadoCar"/>
    <w:uiPriority w:val="1"/>
    <w:qFormat/>
    <w:rsid w:val="00D91D8B"/>
    <w:pPr>
      <w:spacing w:after="0" w:line="240" w:lineRule="auto"/>
    </w:pPr>
    <w:rPr>
      <w:rFonts w:ascii="Calibri" w:eastAsia="Times New Roman" w:hAnsi="Calibri" w:cs="Times New Roman"/>
      <w:b/>
      <w:sz w:val="20"/>
      <w:szCs w:val="24"/>
      <w:lang w:val="es-ES" w:eastAsia="es-ES"/>
    </w:rPr>
  </w:style>
  <w:style w:type="character" w:customStyle="1" w:styleId="SinespaciadoCar">
    <w:name w:val="Sin espaciado Car"/>
    <w:aliases w:val="Subtitulo 1 Car"/>
    <w:link w:val="Sinespaciado"/>
    <w:uiPriority w:val="1"/>
    <w:rsid w:val="00D91D8B"/>
    <w:rPr>
      <w:rFonts w:ascii="Calibri" w:eastAsia="Times New Roman" w:hAnsi="Calibri" w:cs="Times New Roman"/>
      <w:b/>
      <w:sz w:val="20"/>
      <w:szCs w:val="24"/>
      <w:lang w:val="es-ES" w:eastAsia="es-ES"/>
    </w:rPr>
  </w:style>
  <w:style w:type="paragraph" w:styleId="Prrafodelista">
    <w:name w:val="List Paragraph"/>
    <w:basedOn w:val="Normal"/>
    <w:uiPriority w:val="34"/>
    <w:qFormat/>
    <w:rsid w:val="00D91D8B"/>
    <w:pPr>
      <w:ind w:left="720"/>
      <w:contextualSpacing/>
      <w:jc w:val="center"/>
    </w:pPr>
    <w:rPr>
      <w:rFonts w:eastAsia="Calibri"/>
      <w:sz w:val="22"/>
      <w:szCs w:val="22"/>
      <w:lang w:val="es-MX" w:eastAsia="en-US"/>
    </w:rPr>
  </w:style>
  <w:style w:type="character" w:customStyle="1" w:styleId="Ttulo2Car">
    <w:name w:val="Título 2 Car"/>
    <w:basedOn w:val="Fuentedeprrafopredeter"/>
    <w:link w:val="Ttulo2"/>
    <w:uiPriority w:val="9"/>
    <w:rsid w:val="00D91D8B"/>
    <w:rPr>
      <w:rFonts w:asciiTheme="majorHAnsi" w:eastAsiaTheme="majorEastAsia" w:hAnsiTheme="majorHAnsi" w:cstheme="majorBidi"/>
      <w:b/>
      <w:bCs/>
      <w:color w:val="4F81BD" w:themeColor="accent1"/>
      <w:sz w:val="26"/>
      <w:szCs w:val="26"/>
      <w:lang w:val="es-ES" w:eastAsia="es-ES"/>
    </w:rPr>
  </w:style>
  <w:style w:type="paragraph" w:styleId="Bibliografa">
    <w:name w:val="Bibliography"/>
    <w:basedOn w:val="Normal"/>
    <w:next w:val="Normal"/>
    <w:uiPriority w:val="37"/>
    <w:unhideWhenUsed/>
    <w:rsid w:val="00D91D8B"/>
  </w:style>
  <w:style w:type="character" w:styleId="Hipervnculo">
    <w:name w:val="Hyperlink"/>
    <w:basedOn w:val="Fuentedeprrafopredeter"/>
    <w:uiPriority w:val="99"/>
    <w:unhideWhenUsed/>
    <w:rsid w:val="00D91D8B"/>
    <w:rPr>
      <w:color w:val="0000FF" w:themeColor="hyperlink"/>
      <w:u w:val="single"/>
    </w:rPr>
  </w:style>
  <w:style w:type="paragraph" w:styleId="Asuntodelcomentario">
    <w:name w:val="annotation subject"/>
    <w:basedOn w:val="Textocomentario"/>
    <w:next w:val="Textocomentario"/>
    <w:link w:val="AsuntodelcomentarioCar"/>
    <w:uiPriority w:val="99"/>
    <w:semiHidden/>
    <w:unhideWhenUsed/>
    <w:rsid w:val="0052430E"/>
    <w:rPr>
      <w:b/>
      <w:bCs/>
    </w:rPr>
  </w:style>
  <w:style w:type="character" w:customStyle="1" w:styleId="AsuntodelcomentarioCar">
    <w:name w:val="Asunto del comentario Car"/>
    <w:basedOn w:val="TextocomentarioCar"/>
    <w:link w:val="Asuntodelcomentario"/>
    <w:uiPriority w:val="99"/>
    <w:semiHidden/>
    <w:rsid w:val="0052430E"/>
    <w:rPr>
      <w:rFonts w:ascii="Calibri" w:eastAsia="Times New Roman" w:hAnsi="Calibri"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D8B"/>
    <w:pPr>
      <w:spacing w:after="0" w:line="240" w:lineRule="auto"/>
    </w:pPr>
    <w:rPr>
      <w:rFonts w:ascii="Calibri" w:eastAsia="Times New Roman" w:hAnsi="Calibri" w:cs="Times New Roman"/>
      <w:sz w:val="24"/>
      <w:szCs w:val="24"/>
      <w:lang w:val="es-ES" w:eastAsia="es-ES"/>
    </w:rPr>
  </w:style>
  <w:style w:type="paragraph" w:styleId="Ttulo2">
    <w:name w:val="heading 2"/>
    <w:basedOn w:val="Normal"/>
    <w:next w:val="Normal"/>
    <w:link w:val="Ttulo2Car"/>
    <w:uiPriority w:val="9"/>
    <w:unhideWhenUsed/>
    <w:qFormat/>
    <w:rsid w:val="00D91D8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ubttulo">
    <w:name w:val="Subtitle"/>
    <w:aliases w:val="Autor"/>
    <w:basedOn w:val="Normal"/>
    <w:next w:val="Normal"/>
    <w:link w:val="SubttuloCar"/>
    <w:uiPriority w:val="11"/>
    <w:qFormat/>
    <w:rsid w:val="00D91D8B"/>
    <w:pPr>
      <w:spacing w:after="60"/>
      <w:jc w:val="center"/>
      <w:outlineLvl w:val="1"/>
    </w:pPr>
    <w:rPr>
      <w:sz w:val="20"/>
    </w:rPr>
  </w:style>
  <w:style w:type="character" w:customStyle="1" w:styleId="SubttuloCar">
    <w:name w:val="Subtítulo Car"/>
    <w:aliases w:val="Autor Car"/>
    <w:basedOn w:val="Fuentedeprrafopredeter"/>
    <w:link w:val="Subttulo"/>
    <w:uiPriority w:val="11"/>
    <w:rsid w:val="00D91D8B"/>
    <w:rPr>
      <w:rFonts w:ascii="Calibri" w:eastAsia="Times New Roman" w:hAnsi="Calibri" w:cs="Times New Roman"/>
      <w:sz w:val="20"/>
      <w:szCs w:val="24"/>
      <w:lang w:val="es-ES" w:eastAsia="es-ES"/>
    </w:rPr>
  </w:style>
  <w:style w:type="paragraph" w:styleId="HTMLconformatoprevio">
    <w:name w:val="HTML Preformatted"/>
    <w:basedOn w:val="Normal"/>
    <w:link w:val="HTMLconformatoprevioCar"/>
    <w:uiPriority w:val="99"/>
    <w:semiHidden/>
    <w:unhideWhenUsed/>
    <w:rsid w:val="00D91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semiHidden/>
    <w:rsid w:val="00D91D8B"/>
    <w:rPr>
      <w:rFonts w:ascii="Courier New" w:eastAsia="Times New Roman" w:hAnsi="Courier New" w:cs="Courier New"/>
      <w:sz w:val="20"/>
      <w:szCs w:val="20"/>
      <w:lang w:val="es-CO" w:eastAsia="es-CO"/>
    </w:rPr>
  </w:style>
  <w:style w:type="character" w:styleId="Refdecomentario">
    <w:name w:val="annotation reference"/>
    <w:basedOn w:val="Fuentedeprrafopredeter"/>
    <w:uiPriority w:val="99"/>
    <w:semiHidden/>
    <w:unhideWhenUsed/>
    <w:rsid w:val="00D91D8B"/>
    <w:rPr>
      <w:sz w:val="16"/>
      <w:szCs w:val="16"/>
    </w:rPr>
  </w:style>
  <w:style w:type="paragraph" w:styleId="Textocomentario">
    <w:name w:val="annotation text"/>
    <w:basedOn w:val="Normal"/>
    <w:link w:val="TextocomentarioCar"/>
    <w:uiPriority w:val="99"/>
    <w:semiHidden/>
    <w:unhideWhenUsed/>
    <w:rsid w:val="00D91D8B"/>
    <w:rPr>
      <w:sz w:val="20"/>
      <w:szCs w:val="20"/>
    </w:rPr>
  </w:style>
  <w:style w:type="character" w:customStyle="1" w:styleId="TextocomentarioCar">
    <w:name w:val="Texto comentario Car"/>
    <w:basedOn w:val="Fuentedeprrafopredeter"/>
    <w:link w:val="Textocomentario"/>
    <w:uiPriority w:val="99"/>
    <w:semiHidden/>
    <w:rsid w:val="00D91D8B"/>
    <w:rPr>
      <w:rFonts w:ascii="Calibri" w:eastAsia="Times New Roman" w:hAnsi="Calibri" w:cs="Times New Roman"/>
      <w:sz w:val="20"/>
      <w:szCs w:val="20"/>
      <w:lang w:val="es-ES" w:eastAsia="es-ES"/>
    </w:rPr>
  </w:style>
  <w:style w:type="paragraph" w:styleId="Textodeglobo">
    <w:name w:val="Balloon Text"/>
    <w:basedOn w:val="Normal"/>
    <w:link w:val="TextodegloboCar"/>
    <w:uiPriority w:val="99"/>
    <w:semiHidden/>
    <w:unhideWhenUsed/>
    <w:rsid w:val="00D91D8B"/>
    <w:rPr>
      <w:rFonts w:ascii="Tahoma" w:hAnsi="Tahoma" w:cs="Tahoma"/>
      <w:sz w:val="16"/>
      <w:szCs w:val="16"/>
    </w:rPr>
  </w:style>
  <w:style w:type="character" w:customStyle="1" w:styleId="TextodegloboCar">
    <w:name w:val="Texto de globo Car"/>
    <w:basedOn w:val="Fuentedeprrafopredeter"/>
    <w:link w:val="Textodeglobo"/>
    <w:uiPriority w:val="99"/>
    <w:semiHidden/>
    <w:rsid w:val="00D91D8B"/>
    <w:rPr>
      <w:rFonts w:ascii="Tahoma" w:eastAsia="Times New Roman" w:hAnsi="Tahoma" w:cs="Tahoma"/>
      <w:sz w:val="16"/>
      <w:szCs w:val="16"/>
      <w:lang w:val="es-ES" w:eastAsia="es-ES"/>
    </w:rPr>
  </w:style>
  <w:style w:type="paragraph" w:styleId="Textoindependiente2">
    <w:name w:val="Body Text 2"/>
    <w:basedOn w:val="Normal"/>
    <w:link w:val="Textoindependiente2Car"/>
    <w:rsid w:val="00D91D8B"/>
    <w:pPr>
      <w:jc w:val="both"/>
    </w:pPr>
    <w:rPr>
      <w:rFonts w:ascii="Arial" w:hAnsi="Arial" w:cs="Arial"/>
      <w:sz w:val="20"/>
    </w:rPr>
  </w:style>
  <w:style w:type="character" w:customStyle="1" w:styleId="Textoindependiente2Car">
    <w:name w:val="Texto independiente 2 Car"/>
    <w:basedOn w:val="Fuentedeprrafopredeter"/>
    <w:link w:val="Textoindependiente2"/>
    <w:rsid w:val="00D91D8B"/>
    <w:rPr>
      <w:rFonts w:ascii="Arial" w:eastAsia="Times New Roman" w:hAnsi="Arial" w:cs="Arial"/>
      <w:sz w:val="20"/>
      <w:szCs w:val="24"/>
      <w:lang w:val="es-ES" w:eastAsia="es-ES"/>
    </w:rPr>
  </w:style>
  <w:style w:type="paragraph" w:styleId="Sinespaciado">
    <w:name w:val="No Spacing"/>
    <w:aliases w:val="Subtitulo 1"/>
    <w:link w:val="SinespaciadoCar"/>
    <w:uiPriority w:val="1"/>
    <w:qFormat/>
    <w:rsid w:val="00D91D8B"/>
    <w:pPr>
      <w:spacing w:after="0" w:line="240" w:lineRule="auto"/>
    </w:pPr>
    <w:rPr>
      <w:rFonts w:ascii="Calibri" w:eastAsia="Times New Roman" w:hAnsi="Calibri" w:cs="Times New Roman"/>
      <w:b/>
      <w:sz w:val="20"/>
      <w:szCs w:val="24"/>
      <w:lang w:val="es-ES" w:eastAsia="es-ES"/>
    </w:rPr>
  </w:style>
  <w:style w:type="character" w:customStyle="1" w:styleId="SinespaciadoCar">
    <w:name w:val="Sin espaciado Car"/>
    <w:aliases w:val="Subtitulo 1 Car"/>
    <w:link w:val="Sinespaciado"/>
    <w:uiPriority w:val="1"/>
    <w:rsid w:val="00D91D8B"/>
    <w:rPr>
      <w:rFonts w:ascii="Calibri" w:eastAsia="Times New Roman" w:hAnsi="Calibri" w:cs="Times New Roman"/>
      <w:b/>
      <w:sz w:val="20"/>
      <w:szCs w:val="24"/>
      <w:lang w:val="es-ES" w:eastAsia="es-ES"/>
    </w:rPr>
  </w:style>
  <w:style w:type="paragraph" w:styleId="Prrafodelista">
    <w:name w:val="List Paragraph"/>
    <w:basedOn w:val="Normal"/>
    <w:uiPriority w:val="34"/>
    <w:qFormat/>
    <w:rsid w:val="00D91D8B"/>
    <w:pPr>
      <w:ind w:left="720"/>
      <w:contextualSpacing/>
      <w:jc w:val="center"/>
    </w:pPr>
    <w:rPr>
      <w:rFonts w:eastAsia="Calibri"/>
      <w:sz w:val="22"/>
      <w:szCs w:val="22"/>
      <w:lang w:val="es-MX" w:eastAsia="en-US"/>
    </w:rPr>
  </w:style>
  <w:style w:type="character" w:customStyle="1" w:styleId="Ttulo2Car">
    <w:name w:val="Título 2 Car"/>
    <w:basedOn w:val="Fuentedeprrafopredeter"/>
    <w:link w:val="Ttulo2"/>
    <w:uiPriority w:val="9"/>
    <w:rsid w:val="00D91D8B"/>
    <w:rPr>
      <w:rFonts w:asciiTheme="majorHAnsi" w:eastAsiaTheme="majorEastAsia" w:hAnsiTheme="majorHAnsi" w:cstheme="majorBidi"/>
      <w:b/>
      <w:bCs/>
      <w:color w:val="4F81BD" w:themeColor="accent1"/>
      <w:sz w:val="26"/>
      <w:szCs w:val="26"/>
      <w:lang w:val="es-ES" w:eastAsia="es-ES"/>
    </w:rPr>
  </w:style>
  <w:style w:type="paragraph" w:styleId="Bibliografa">
    <w:name w:val="Bibliography"/>
    <w:basedOn w:val="Normal"/>
    <w:next w:val="Normal"/>
    <w:uiPriority w:val="37"/>
    <w:unhideWhenUsed/>
    <w:rsid w:val="00D91D8B"/>
  </w:style>
  <w:style w:type="character" w:styleId="Hipervnculo">
    <w:name w:val="Hyperlink"/>
    <w:basedOn w:val="Fuentedeprrafopredeter"/>
    <w:uiPriority w:val="99"/>
    <w:unhideWhenUsed/>
    <w:rsid w:val="00D91D8B"/>
    <w:rPr>
      <w:color w:val="0000FF" w:themeColor="hyperlink"/>
      <w:u w:val="single"/>
    </w:rPr>
  </w:style>
  <w:style w:type="paragraph" w:styleId="Asuntodelcomentario">
    <w:name w:val="annotation subject"/>
    <w:basedOn w:val="Textocomentario"/>
    <w:next w:val="Textocomentario"/>
    <w:link w:val="AsuntodelcomentarioCar"/>
    <w:uiPriority w:val="99"/>
    <w:semiHidden/>
    <w:unhideWhenUsed/>
    <w:rsid w:val="0052430E"/>
    <w:rPr>
      <w:b/>
      <w:bCs/>
    </w:rPr>
  </w:style>
  <w:style w:type="character" w:customStyle="1" w:styleId="AsuntodelcomentarioCar">
    <w:name w:val="Asunto del comentario Car"/>
    <w:basedOn w:val="TextocomentarioCar"/>
    <w:link w:val="Asuntodelcomentario"/>
    <w:uiPriority w:val="99"/>
    <w:semiHidden/>
    <w:rsid w:val="0052430E"/>
    <w:rPr>
      <w:rFonts w:ascii="Calibri" w:eastAsia="Times New Roman" w:hAnsi="Calibri"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hyperlink" Target="http://repositorio.ufsc.br/xmlui/handle/123456789/25923" TargetMode="External"/><Relationship Id="rId10" Type="http://schemas.openxmlformats.org/officeDocument/2006/relationships/diagramColors" Target="diagrams/colors1.xml"/><Relationship Id="rId4" Type="http://schemas.microsoft.com/office/2007/relationships/stylesWithEffects" Target="stylesWithEffects.xml"/><Relationship Id="rId9" Type="http://schemas.openxmlformats.org/officeDocument/2006/relationships/diagramQuickStyle" Target="diagrams/quickStyle1.xml"/><Relationship Id="rId14" Type="http://schemas.openxmlformats.org/officeDocument/2006/relationships/package" Target="embeddings/Hoja_de_c_lculo_de_Microsoft_Excel1.xlsx"/></Relationships>
</file>

<file path=word/charts/_rels/chart1.xml.rels><?xml version="1.0" encoding="UTF-8" standalone="yes"?>
<Relationships xmlns="http://schemas.openxmlformats.org/package/2006/relationships"><Relationship Id="rId1" Type="http://schemas.openxmlformats.org/officeDocument/2006/relationships/oleObject" Target="file:///E:\DOCUEMNTOS%20TESIS%20PAOLA%20CHINOME\TESIS\OTROS\MODELOS,%20FACTORES%20Y%20VARIABL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bar"/>
        <c:grouping val="clustered"/>
        <c:varyColors val="0"/>
        <c:ser>
          <c:idx val="0"/>
          <c:order val="0"/>
          <c:invertIfNegative val="0"/>
          <c:val>
            <c:numRef>
              <c:f>'Hoja 5 (2)'!$E$6:$E$26</c:f>
              <c:numCache>
                <c:formatCode>General</c:formatCode>
                <c:ptCount val="21"/>
                <c:pt idx="0">
                  <c:v>18</c:v>
                </c:pt>
                <c:pt idx="1">
                  <c:v>17</c:v>
                </c:pt>
                <c:pt idx="2">
                  <c:v>12</c:v>
                </c:pt>
                <c:pt idx="3">
                  <c:v>11</c:v>
                </c:pt>
                <c:pt idx="4">
                  <c:v>11</c:v>
                </c:pt>
                <c:pt idx="5">
                  <c:v>9</c:v>
                </c:pt>
                <c:pt idx="6">
                  <c:v>8</c:v>
                </c:pt>
                <c:pt idx="7">
                  <c:v>6</c:v>
                </c:pt>
                <c:pt idx="8">
                  <c:v>4</c:v>
                </c:pt>
                <c:pt idx="9">
                  <c:v>4</c:v>
                </c:pt>
                <c:pt idx="10">
                  <c:v>4</c:v>
                </c:pt>
                <c:pt idx="11">
                  <c:v>4</c:v>
                </c:pt>
                <c:pt idx="12">
                  <c:v>2</c:v>
                </c:pt>
                <c:pt idx="13">
                  <c:v>2</c:v>
                </c:pt>
                <c:pt idx="14">
                  <c:v>2</c:v>
                </c:pt>
                <c:pt idx="15">
                  <c:v>2</c:v>
                </c:pt>
                <c:pt idx="16">
                  <c:v>1</c:v>
                </c:pt>
                <c:pt idx="17">
                  <c:v>1</c:v>
                </c:pt>
                <c:pt idx="18">
                  <c:v>1</c:v>
                </c:pt>
                <c:pt idx="19">
                  <c:v>1</c:v>
                </c:pt>
                <c:pt idx="20">
                  <c:v>1</c:v>
                </c:pt>
              </c:numCache>
            </c:numRef>
          </c:val>
        </c:ser>
        <c:dLbls>
          <c:showLegendKey val="0"/>
          <c:showVal val="0"/>
          <c:showCatName val="0"/>
          <c:showSerName val="0"/>
          <c:showPercent val="0"/>
          <c:showBubbleSize val="0"/>
        </c:dLbls>
        <c:gapWidth val="150"/>
        <c:axId val="129947136"/>
        <c:axId val="129949056"/>
      </c:barChart>
      <c:catAx>
        <c:axId val="129947136"/>
        <c:scaling>
          <c:orientation val="minMax"/>
        </c:scaling>
        <c:delete val="0"/>
        <c:axPos val="l"/>
        <c:title>
          <c:tx>
            <c:rich>
              <a:bodyPr rot="0" vert="horz" anchor="ctr" anchorCtr="1"/>
              <a:lstStyle/>
              <a:p>
                <a:pPr>
                  <a:defRPr sz="800"/>
                </a:pPr>
                <a:r>
                  <a:rPr lang="es-MX" sz="800" b="0"/>
                  <a:t>Numero</a:t>
                </a:r>
                <a:r>
                  <a:rPr lang="es-MX" sz="800" b="0" baseline="0"/>
                  <a:t> de autores</a:t>
                </a:r>
                <a:endParaRPr lang="es-MX" sz="800" b="0"/>
              </a:p>
            </c:rich>
          </c:tx>
          <c:layout>
            <c:manualLayout>
              <c:xMode val="edge"/>
              <c:yMode val="edge"/>
              <c:x val="0.4659317585301837"/>
              <c:y val="0.80451407115777196"/>
            </c:manualLayout>
          </c:layout>
          <c:overlay val="0"/>
          <c:spPr>
            <a:ln w="9525"/>
          </c:spPr>
        </c:title>
        <c:majorTickMark val="out"/>
        <c:minorTickMark val="none"/>
        <c:tickLblPos val="nextTo"/>
        <c:crossAx val="129949056"/>
        <c:crosses val="autoZero"/>
        <c:auto val="1"/>
        <c:lblAlgn val="ctr"/>
        <c:lblOffset val="100"/>
        <c:noMultiLvlLbl val="0"/>
      </c:catAx>
      <c:valAx>
        <c:axId val="129949056"/>
        <c:scaling>
          <c:orientation val="minMax"/>
        </c:scaling>
        <c:delete val="0"/>
        <c:axPos val="b"/>
        <c:title>
          <c:tx>
            <c:rich>
              <a:bodyPr rot="-5400000" vert="horz"/>
              <a:lstStyle/>
              <a:p>
                <a:pPr>
                  <a:defRPr sz="800" b="0"/>
                </a:pPr>
                <a:r>
                  <a:rPr lang="es-MX" sz="800" b="0" baseline="0"/>
                  <a:t>Variable </a:t>
                </a:r>
                <a:endParaRPr lang="es-MX" sz="800" b="0"/>
              </a:p>
            </c:rich>
          </c:tx>
          <c:layout>
            <c:manualLayout>
              <c:xMode val="edge"/>
              <c:yMode val="edge"/>
              <c:x val="9.4444444444444442E-2"/>
              <c:y val="0.27144867308253134"/>
            </c:manualLayout>
          </c:layout>
          <c:overlay val="0"/>
        </c:title>
        <c:numFmt formatCode="General" sourceLinked="1"/>
        <c:majorTickMark val="out"/>
        <c:minorTickMark val="none"/>
        <c:tickLblPos val="nextTo"/>
        <c:crossAx val="129947136"/>
        <c:crosses val="autoZero"/>
        <c:crossBetween val="between"/>
      </c:valAx>
    </c:plotArea>
    <c:plotVisOnly val="1"/>
    <c:dispBlanksAs val="gap"/>
    <c:showDLblsOverMax val="0"/>
  </c:chart>
  <c:spPr>
    <a:ln>
      <a:noFill/>
    </a:ln>
  </c:sp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3D80B9-2E75-40BF-BDD6-A5007FCF9175}" type="doc">
      <dgm:prSet loTypeId="urn:microsoft.com/office/officeart/2005/8/layout/cycle2" loCatId="cycle" qsTypeId="urn:microsoft.com/office/officeart/2005/8/quickstyle/simple1" qsCatId="simple" csTypeId="urn:microsoft.com/office/officeart/2005/8/colors/accent0_1" csCatId="mainScheme" phldr="1"/>
      <dgm:spPr/>
      <dgm:t>
        <a:bodyPr/>
        <a:lstStyle/>
        <a:p>
          <a:endParaRPr lang="es-MX"/>
        </a:p>
      </dgm:t>
    </dgm:pt>
    <dgm:pt modelId="{1F11EE3B-3E6E-4197-8F35-6C96CCFE6EFD}">
      <dgm:prSet phldrT="[Texto]"/>
      <dgm:spPr/>
      <dgm:t>
        <a:bodyPr/>
        <a:lstStyle/>
        <a:p>
          <a:r>
            <a:rPr lang="es-MX"/>
            <a:t>Revisión de literatura</a:t>
          </a:r>
        </a:p>
      </dgm:t>
    </dgm:pt>
    <dgm:pt modelId="{04F0C53E-842B-4C4D-BD27-EC4CFC335CB4}" type="parTrans" cxnId="{555D2BEE-2085-439B-B9C1-6A4FBA381826}">
      <dgm:prSet/>
      <dgm:spPr/>
      <dgm:t>
        <a:bodyPr/>
        <a:lstStyle/>
        <a:p>
          <a:endParaRPr lang="es-MX"/>
        </a:p>
      </dgm:t>
    </dgm:pt>
    <dgm:pt modelId="{BF283C66-B492-4053-8A6B-2B82C578247D}" type="sibTrans" cxnId="{555D2BEE-2085-439B-B9C1-6A4FBA381826}">
      <dgm:prSet/>
      <dgm:spPr/>
      <dgm:t>
        <a:bodyPr/>
        <a:lstStyle/>
        <a:p>
          <a:endParaRPr lang="es-MX"/>
        </a:p>
      </dgm:t>
    </dgm:pt>
    <dgm:pt modelId="{9859543E-5AD8-4F8D-86F5-EDABADE683D9}">
      <dgm:prSet phldrT="[Texto]"/>
      <dgm:spPr/>
      <dgm:t>
        <a:bodyPr/>
        <a:lstStyle/>
        <a:p>
          <a:r>
            <a:rPr lang="es-MX"/>
            <a:t>Identificcion de los factores</a:t>
          </a:r>
        </a:p>
      </dgm:t>
    </dgm:pt>
    <dgm:pt modelId="{BD71BD0B-FF9E-4CB6-B2E0-A64F71F80008}" type="parTrans" cxnId="{40036B6B-31E1-4682-BFF6-4721E83FE1E4}">
      <dgm:prSet/>
      <dgm:spPr/>
      <dgm:t>
        <a:bodyPr/>
        <a:lstStyle/>
        <a:p>
          <a:endParaRPr lang="es-MX"/>
        </a:p>
      </dgm:t>
    </dgm:pt>
    <dgm:pt modelId="{DDE0E45B-B2A3-427B-BC18-5ECB3DC51BBB}" type="sibTrans" cxnId="{40036B6B-31E1-4682-BFF6-4721E83FE1E4}">
      <dgm:prSet/>
      <dgm:spPr/>
      <dgm:t>
        <a:bodyPr/>
        <a:lstStyle/>
        <a:p>
          <a:endParaRPr lang="es-MX"/>
        </a:p>
      </dgm:t>
    </dgm:pt>
    <dgm:pt modelId="{515C7C5C-C79A-4908-B112-96AB77930BF2}">
      <dgm:prSet phldrT="[Texto]"/>
      <dgm:spPr/>
      <dgm:t>
        <a:bodyPr/>
        <a:lstStyle/>
        <a:p>
          <a:r>
            <a:rPr lang="es-MX"/>
            <a:t>Clasificacion de las variables </a:t>
          </a:r>
        </a:p>
      </dgm:t>
    </dgm:pt>
    <dgm:pt modelId="{4F2FA5A4-9A13-4C7E-9726-DE47A17ED65A}" type="parTrans" cxnId="{8F396901-D24F-47FF-B118-E47331D98A91}">
      <dgm:prSet/>
      <dgm:spPr/>
      <dgm:t>
        <a:bodyPr/>
        <a:lstStyle/>
        <a:p>
          <a:endParaRPr lang="es-MX"/>
        </a:p>
      </dgm:t>
    </dgm:pt>
    <dgm:pt modelId="{03E05989-BC30-4E78-8DA6-E40A19EBB2BF}" type="sibTrans" cxnId="{8F396901-D24F-47FF-B118-E47331D98A91}">
      <dgm:prSet/>
      <dgm:spPr/>
      <dgm:t>
        <a:bodyPr/>
        <a:lstStyle/>
        <a:p>
          <a:endParaRPr lang="es-MX"/>
        </a:p>
      </dgm:t>
    </dgm:pt>
    <dgm:pt modelId="{00FF5219-005A-4675-BF1F-0E6A2541645E}">
      <dgm:prSet phldrT="[Texto]" custT="1"/>
      <dgm:spPr/>
      <dgm:t>
        <a:bodyPr/>
        <a:lstStyle/>
        <a:p>
          <a:r>
            <a:rPr lang="es-MX" sz="900" cap="small" baseline="0"/>
            <a:t>Priorización de las variables</a:t>
          </a:r>
        </a:p>
      </dgm:t>
    </dgm:pt>
    <dgm:pt modelId="{C9AA6ACB-ABA9-420B-9ADD-5EF81214C5EE}" type="parTrans" cxnId="{99539E35-B93C-4939-9204-ABABA40B347F}">
      <dgm:prSet/>
      <dgm:spPr/>
      <dgm:t>
        <a:bodyPr/>
        <a:lstStyle/>
        <a:p>
          <a:endParaRPr lang="es-MX"/>
        </a:p>
      </dgm:t>
    </dgm:pt>
    <dgm:pt modelId="{0DD23B20-D9A0-4139-AD17-D1043BBD1977}" type="sibTrans" cxnId="{99539E35-B93C-4939-9204-ABABA40B347F}">
      <dgm:prSet/>
      <dgm:spPr>
        <a:solidFill>
          <a:schemeClr val="bg1"/>
        </a:solidFill>
      </dgm:spPr>
      <dgm:t>
        <a:bodyPr/>
        <a:lstStyle/>
        <a:p>
          <a:endParaRPr lang="es-MX"/>
        </a:p>
      </dgm:t>
    </dgm:pt>
    <dgm:pt modelId="{E753E12E-D817-4C80-B402-547C3FC1256D}" type="pres">
      <dgm:prSet presAssocID="{163D80B9-2E75-40BF-BDD6-A5007FCF9175}" presName="cycle" presStyleCnt="0">
        <dgm:presLayoutVars>
          <dgm:dir/>
          <dgm:resizeHandles val="exact"/>
        </dgm:presLayoutVars>
      </dgm:prSet>
      <dgm:spPr/>
      <dgm:t>
        <a:bodyPr/>
        <a:lstStyle/>
        <a:p>
          <a:endParaRPr lang="es-MX"/>
        </a:p>
      </dgm:t>
    </dgm:pt>
    <dgm:pt modelId="{DDBFA16B-6B23-455A-AD7E-E5FEF8399E95}" type="pres">
      <dgm:prSet presAssocID="{1F11EE3B-3E6E-4197-8F35-6C96CCFE6EFD}" presName="node" presStyleLbl="node1" presStyleIdx="0" presStyleCnt="4" custScaleX="100227" custRadScaleRad="118581" custRadScaleInc="-112039">
        <dgm:presLayoutVars>
          <dgm:bulletEnabled val="1"/>
        </dgm:presLayoutVars>
      </dgm:prSet>
      <dgm:spPr/>
      <dgm:t>
        <a:bodyPr/>
        <a:lstStyle/>
        <a:p>
          <a:endParaRPr lang="es-MX"/>
        </a:p>
      </dgm:t>
    </dgm:pt>
    <dgm:pt modelId="{4DBBC30B-0079-498F-9560-7A084ADA3504}" type="pres">
      <dgm:prSet presAssocID="{BF283C66-B492-4053-8A6B-2B82C578247D}" presName="sibTrans" presStyleLbl="sibTrans2D1" presStyleIdx="0" presStyleCnt="4" custScaleX="98929"/>
      <dgm:spPr/>
      <dgm:t>
        <a:bodyPr/>
        <a:lstStyle/>
        <a:p>
          <a:endParaRPr lang="es-MX"/>
        </a:p>
      </dgm:t>
    </dgm:pt>
    <dgm:pt modelId="{0F5EA537-B946-427D-8138-44F3EB90D020}" type="pres">
      <dgm:prSet presAssocID="{BF283C66-B492-4053-8A6B-2B82C578247D}" presName="connectorText" presStyleLbl="sibTrans2D1" presStyleIdx="0" presStyleCnt="4"/>
      <dgm:spPr/>
      <dgm:t>
        <a:bodyPr/>
        <a:lstStyle/>
        <a:p>
          <a:endParaRPr lang="es-MX"/>
        </a:p>
      </dgm:t>
    </dgm:pt>
    <dgm:pt modelId="{28027C60-1928-4F54-97E7-E4309F5E7004}" type="pres">
      <dgm:prSet presAssocID="{9859543E-5AD8-4F8D-86F5-EDABADE683D9}" presName="node" presStyleLbl="node1" presStyleIdx="1" presStyleCnt="4" custRadScaleRad="109881" custRadScaleInc="-94687">
        <dgm:presLayoutVars>
          <dgm:bulletEnabled val="1"/>
        </dgm:presLayoutVars>
      </dgm:prSet>
      <dgm:spPr/>
      <dgm:t>
        <a:bodyPr/>
        <a:lstStyle/>
        <a:p>
          <a:endParaRPr lang="es-MX"/>
        </a:p>
      </dgm:t>
    </dgm:pt>
    <dgm:pt modelId="{69906C0F-45F6-4A94-A537-FD750E61AEE5}" type="pres">
      <dgm:prSet presAssocID="{DDE0E45B-B2A3-427B-BC18-5ECB3DC51BBB}" presName="sibTrans" presStyleLbl="sibTrans2D1" presStyleIdx="1" presStyleCnt="4" custScaleX="98082"/>
      <dgm:spPr/>
      <dgm:t>
        <a:bodyPr/>
        <a:lstStyle/>
        <a:p>
          <a:endParaRPr lang="es-MX"/>
        </a:p>
      </dgm:t>
    </dgm:pt>
    <dgm:pt modelId="{F59AB5BC-1AC4-4EBC-8DA1-B2926E10BEBF}" type="pres">
      <dgm:prSet presAssocID="{DDE0E45B-B2A3-427B-BC18-5ECB3DC51BBB}" presName="connectorText" presStyleLbl="sibTrans2D1" presStyleIdx="1" presStyleCnt="4"/>
      <dgm:spPr/>
      <dgm:t>
        <a:bodyPr/>
        <a:lstStyle/>
        <a:p>
          <a:endParaRPr lang="es-MX"/>
        </a:p>
      </dgm:t>
    </dgm:pt>
    <dgm:pt modelId="{3ADDD187-9003-4B53-919C-FDFE2E2F07BF}" type="pres">
      <dgm:prSet presAssocID="{515C7C5C-C79A-4908-B112-96AB77930BF2}" presName="node" presStyleLbl="node1" presStyleIdx="2" presStyleCnt="4" custRadScaleRad="110603" custRadScaleInc="-95587">
        <dgm:presLayoutVars>
          <dgm:bulletEnabled val="1"/>
        </dgm:presLayoutVars>
      </dgm:prSet>
      <dgm:spPr/>
      <dgm:t>
        <a:bodyPr/>
        <a:lstStyle/>
        <a:p>
          <a:endParaRPr lang="es-MX"/>
        </a:p>
      </dgm:t>
    </dgm:pt>
    <dgm:pt modelId="{972D94C0-099C-4869-AF83-AC8A6488BE38}" type="pres">
      <dgm:prSet presAssocID="{03E05989-BC30-4E78-8DA6-E40A19EBB2BF}" presName="sibTrans" presStyleLbl="sibTrans2D1" presStyleIdx="2" presStyleCnt="4"/>
      <dgm:spPr/>
      <dgm:t>
        <a:bodyPr/>
        <a:lstStyle/>
        <a:p>
          <a:endParaRPr lang="es-MX"/>
        </a:p>
      </dgm:t>
    </dgm:pt>
    <dgm:pt modelId="{201FC6FB-19AD-4937-BEE5-6A40E2BF640F}" type="pres">
      <dgm:prSet presAssocID="{03E05989-BC30-4E78-8DA6-E40A19EBB2BF}" presName="connectorText" presStyleLbl="sibTrans2D1" presStyleIdx="2" presStyleCnt="4"/>
      <dgm:spPr/>
      <dgm:t>
        <a:bodyPr/>
        <a:lstStyle/>
        <a:p>
          <a:endParaRPr lang="es-MX"/>
        </a:p>
      </dgm:t>
    </dgm:pt>
    <dgm:pt modelId="{7DA6EF50-0BEC-4ED9-9096-B6FAB7489D72}" type="pres">
      <dgm:prSet presAssocID="{00FF5219-005A-4675-BF1F-0E6A2541645E}" presName="node" presStyleLbl="node1" presStyleIdx="3" presStyleCnt="4" custScaleX="124395" custRadScaleRad="125263" custRadScaleInc="-89217">
        <dgm:presLayoutVars>
          <dgm:bulletEnabled val="1"/>
        </dgm:presLayoutVars>
      </dgm:prSet>
      <dgm:spPr/>
      <dgm:t>
        <a:bodyPr/>
        <a:lstStyle/>
        <a:p>
          <a:endParaRPr lang="es-MX"/>
        </a:p>
      </dgm:t>
    </dgm:pt>
    <dgm:pt modelId="{5299887E-F9C4-48C8-8998-7F8F21029E42}" type="pres">
      <dgm:prSet presAssocID="{0DD23B20-D9A0-4139-AD17-D1043BBD1977}" presName="sibTrans" presStyleLbl="sibTrans2D1" presStyleIdx="3" presStyleCnt="4"/>
      <dgm:spPr/>
      <dgm:t>
        <a:bodyPr/>
        <a:lstStyle/>
        <a:p>
          <a:endParaRPr lang="es-MX"/>
        </a:p>
      </dgm:t>
    </dgm:pt>
    <dgm:pt modelId="{8995925D-48C3-4F62-9F65-A9164F6C22D5}" type="pres">
      <dgm:prSet presAssocID="{0DD23B20-D9A0-4139-AD17-D1043BBD1977}" presName="connectorText" presStyleLbl="sibTrans2D1" presStyleIdx="3" presStyleCnt="4"/>
      <dgm:spPr/>
      <dgm:t>
        <a:bodyPr/>
        <a:lstStyle/>
        <a:p>
          <a:endParaRPr lang="es-MX"/>
        </a:p>
      </dgm:t>
    </dgm:pt>
  </dgm:ptLst>
  <dgm:cxnLst>
    <dgm:cxn modelId="{3B149A63-5B58-48F1-8ED1-13D3A12C4580}" type="presOf" srcId="{0DD23B20-D9A0-4139-AD17-D1043BBD1977}" destId="{5299887E-F9C4-48C8-8998-7F8F21029E42}" srcOrd="0" destOrd="0" presId="urn:microsoft.com/office/officeart/2005/8/layout/cycle2"/>
    <dgm:cxn modelId="{15789219-8006-4A83-924C-A9CE3E927292}" type="presOf" srcId="{515C7C5C-C79A-4908-B112-96AB77930BF2}" destId="{3ADDD187-9003-4B53-919C-FDFE2E2F07BF}" srcOrd="0" destOrd="0" presId="urn:microsoft.com/office/officeart/2005/8/layout/cycle2"/>
    <dgm:cxn modelId="{1500ACD5-B53B-4F38-8F1F-C2E6327D6D4A}" type="presOf" srcId="{163D80B9-2E75-40BF-BDD6-A5007FCF9175}" destId="{E753E12E-D817-4C80-B402-547C3FC1256D}" srcOrd="0" destOrd="0" presId="urn:microsoft.com/office/officeart/2005/8/layout/cycle2"/>
    <dgm:cxn modelId="{99539E35-B93C-4939-9204-ABABA40B347F}" srcId="{163D80B9-2E75-40BF-BDD6-A5007FCF9175}" destId="{00FF5219-005A-4675-BF1F-0E6A2541645E}" srcOrd="3" destOrd="0" parTransId="{C9AA6ACB-ABA9-420B-9ADD-5EF81214C5EE}" sibTransId="{0DD23B20-D9A0-4139-AD17-D1043BBD1977}"/>
    <dgm:cxn modelId="{534051EB-B72D-4E9B-B9AC-5449BF6CABA4}" type="presOf" srcId="{DDE0E45B-B2A3-427B-BC18-5ECB3DC51BBB}" destId="{69906C0F-45F6-4A94-A537-FD750E61AEE5}" srcOrd="0" destOrd="0" presId="urn:microsoft.com/office/officeart/2005/8/layout/cycle2"/>
    <dgm:cxn modelId="{94DE9A8F-1EB4-4BB1-8B0C-56C4C62E386B}" type="presOf" srcId="{DDE0E45B-B2A3-427B-BC18-5ECB3DC51BBB}" destId="{F59AB5BC-1AC4-4EBC-8DA1-B2926E10BEBF}" srcOrd="1" destOrd="0" presId="urn:microsoft.com/office/officeart/2005/8/layout/cycle2"/>
    <dgm:cxn modelId="{555D2BEE-2085-439B-B9C1-6A4FBA381826}" srcId="{163D80B9-2E75-40BF-BDD6-A5007FCF9175}" destId="{1F11EE3B-3E6E-4197-8F35-6C96CCFE6EFD}" srcOrd="0" destOrd="0" parTransId="{04F0C53E-842B-4C4D-BD27-EC4CFC335CB4}" sibTransId="{BF283C66-B492-4053-8A6B-2B82C578247D}"/>
    <dgm:cxn modelId="{8BB3421D-1027-4042-8D69-CCBA38EF5DFE}" type="presOf" srcId="{03E05989-BC30-4E78-8DA6-E40A19EBB2BF}" destId="{201FC6FB-19AD-4937-BEE5-6A40E2BF640F}" srcOrd="1" destOrd="0" presId="urn:microsoft.com/office/officeart/2005/8/layout/cycle2"/>
    <dgm:cxn modelId="{DEFC6BE4-5012-4D99-963A-671B505DC056}" type="presOf" srcId="{BF283C66-B492-4053-8A6B-2B82C578247D}" destId="{4DBBC30B-0079-498F-9560-7A084ADA3504}" srcOrd="0" destOrd="0" presId="urn:microsoft.com/office/officeart/2005/8/layout/cycle2"/>
    <dgm:cxn modelId="{157A4C9C-FC09-474D-9925-BE8FDC31D32F}" type="presOf" srcId="{03E05989-BC30-4E78-8DA6-E40A19EBB2BF}" destId="{972D94C0-099C-4869-AF83-AC8A6488BE38}" srcOrd="0" destOrd="0" presId="urn:microsoft.com/office/officeart/2005/8/layout/cycle2"/>
    <dgm:cxn modelId="{088CF6C0-8F60-4E8E-874D-83DB801EEFEE}" type="presOf" srcId="{BF283C66-B492-4053-8A6B-2B82C578247D}" destId="{0F5EA537-B946-427D-8138-44F3EB90D020}" srcOrd="1" destOrd="0" presId="urn:microsoft.com/office/officeart/2005/8/layout/cycle2"/>
    <dgm:cxn modelId="{27E0A16D-D67C-40C5-A0AE-26E20BDDD8A9}" type="presOf" srcId="{1F11EE3B-3E6E-4197-8F35-6C96CCFE6EFD}" destId="{DDBFA16B-6B23-455A-AD7E-E5FEF8399E95}" srcOrd="0" destOrd="0" presId="urn:microsoft.com/office/officeart/2005/8/layout/cycle2"/>
    <dgm:cxn modelId="{F3BC64AD-0860-4AEB-B364-782EBBC8E5C1}" type="presOf" srcId="{0DD23B20-D9A0-4139-AD17-D1043BBD1977}" destId="{8995925D-48C3-4F62-9F65-A9164F6C22D5}" srcOrd="1" destOrd="0" presId="urn:microsoft.com/office/officeart/2005/8/layout/cycle2"/>
    <dgm:cxn modelId="{2644FFBA-5EB6-45C7-9125-568B5441E053}" type="presOf" srcId="{00FF5219-005A-4675-BF1F-0E6A2541645E}" destId="{7DA6EF50-0BEC-4ED9-9096-B6FAB7489D72}" srcOrd="0" destOrd="0" presId="urn:microsoft.com/office/officeart/2005/8/layout/cycle2"/>
    <dgm:cxn modelId="{8F396901-D24F-47FF-B118-E47331D98A91}" srcId="{163D80B9-2E75-40BF-BDD6-A5007FCF9175}" destId="{515C7C5C-C79A-4908-B112-96AB77930BF2}" srcOrd="2" destOrd="0" parTransId="{4F2FA5A4-9A13-4C7E-9726-DE47A17ED65A}" sibTransId="{03E05989-BC30-4E78-8DA6-E40A19EBB2BF}"/>
    <dgm:cxn modelId="{40036B6B-31E1-4682-BFF6-4721E83FE1E4}" srcId="{163D80B9-2E75-40BF-BDD6-A5007FCF9175}" destId="{9859543E-5AD8-4F8D-86F5-EDABADE683D9}" srcOrd="1" destOrd="0" parTransId="{BD71BD0B-FF9E-4CB6-B2E0-A64F71F80008}" sibTransId="{DDE0E45B-B2A3-427B-BC18-5ECB3DC51BBB}"/>
    <dgm:cxn modelId="{27EBA9B5-2661-4975-85EE-7B42D9CAFCB7}" type="presOf" srcId="{9859543E-5AD8-4F8D-86F5-EDABADE683D9}" destId="{28027C60-1928-4F54-97E7-E4309F5E7004}" srcOrd="0" destOrd="0" presId="urn:microsoft.com/office/officeart/2005/8/layout/cycle2"/>
    <dgm:cxn modelId="{7160BF22-68C2-417A-A394-586E59C792BA}" type="presParOf" srcId="{E753E12E-D817-4C80-B402-547C3FC1256D}" destId="{DDBFA16B-6B23-455A-AD7E-E5FEF8399E95}" srcOrd="0" destOrd="0" presId="urn:microsoft.com/office/officeart/2005/8/layout/cycle2"/>
    <dgm:cxn modelId="{C97E9608-8A48-4EED-879E-69DF8AAA2789}" type="presParOf" srcId="{E753E12E-D817-4C80-B402-547C3FC1256D}" destId="{4DBBC30B-0079-498F-9560-7A084ADA3504}" srcOrd="1" destOrd="0" presId="urn:microsoft.com/office/officeart/2005/8/layout/cycle2"/>
    <dgm:cxn modelId="{03492C80-1905-4CAB-BBB2-FA326734880B}" type="presParOf" srcId="{4DBBC30B-0079-498F-9560-7A084ADA3504}" destId="{0F5EA537-B946-427D-8138-44F3EB90D020}" srcOrd="0" destOrd="0" presId="urn:microsoft.com/office/officeart/2005/8/layout/cycle2"/>
    <dgm:cxn modelId="{F8EA8488-388C-45A1-AC27-070CE305AB31}" type="presParOf" srcId="{E753E12E-D817-4C80-B402-547C3FC1256D}" destId="{28027C60-1928-4F54-97E7-E4309F5E7004}" srcOrd="2" destOrd="0" presId="urn:microsoft.com/office/officeart/2005/8/layout/cycle2"/>
    <dgm:cxn modelId="{591AE552-D5A1-438E-A181-37A60B2B3E38}" type="presParOf" srcId="{E753E12E-D817-4C80-B402-547C3FC1256D}" destId="{69906C0F-45F6-4A94-A537-FD750E61AEE5}" srcOrd="3" destOrd="0" presId="urn:microsoft.com/office/officeart/2005/8/layout/cycle2"/>
    <dgm:cxn modelId="{EA8121B2-AB15-4463-B1E9-EA4C05903CD0}" type="presParOf" srcId="{69906C0F-45F6-4A94-A537-FD750E61AEE5}" destId="{F59AB5BC-1AC4-4EBC-8DA1-B2926E10BEBF}" srcOrd="0" destOrd="0" presId="urn:microsoft.com/office/officeart/2005/8/layout/cycle2"/>
    <dgm:cxn modelId="{6BF46818-0D38-497E-B813-20ECC019B263}" type="presParOf" srcId="{E753E12E-D817-4C80-B402-547C3FC1256D}" destId="{3ADDD187-9003-4B53-919C-FDFE2E2F07BF}" srcOrd="4" destOrd="0" presId="urn:microsoft.com/office/officeart/2005/8/layout/cycle2"/>
    <dgm:cxn modelId="{58981E9E-1E11-49FB-9D62-20C037EE4F7A}" type="presParOf" srcId="{E753E12E-D817-4C80-B402-547C3FC1256D}" destId="{972D94C0-099C-4869-AF83-AC8A6488BE38}" srcOrd="5" destOrd="0" presId="urn:microsoft.com/office/officeart/2005/8/layout/cycle2"/>
    <dgm:cxn modelId="{26FD68F7-7C1D-471D-9C5E-BA923438A80D}" type="presParOf" srcId="{972D94C0-099C-4869-AF83-AC8A6488BE38}" destId="{201FC6FB-19AD-4937-BEE5-6A40E2BF640F}" srcOrd="0" destOrd="0" presId="urn:microsoft.com/office/officeart/2005/8/layout/cycle2"/>
    <dgm:cxn modelId="{17F00BE1-7661-48B3-BC0F-5E1C7D2AB2C2}" type="presParOf" srcId="{E753E12E-D817-4C80-B402-547C3FC1256D}" destId="{7DA6EF50-0BEC-4ED9-9096-B6FAB7489D72}" srcOrd="6" destOrd="0" presId="urn:microsoft.com/office/officeart/2005/8/layout/cycle2"/>
    <dgm:cxn modelId="{2BD68B59-44B9-4C90-9A52-C4F53D89FC6B}" type="presParOf" srcId="{E753E12E-D817-4C80-B402-547C3FC1256D}" destId="{5299887E-F9C4-48C8-8998-7F8F21029E42}" srcOrd="7" destOrd="0" presId="urn:microsoft.com/office/officeart/2005/8/layout/cycle2"/>
    <dgm:cxn modelId="{EDDBD11B-C6AC-403D-80D9-92DFF7A02CAB}" type="presParOf" srcId="{5299887E-F9C4-48C8-8998-7F8F21029E42}" destId="{8995925D-48C3-4F62-9F65-A9164F6C22D5}"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BFA16B-6B23-455A-AD7E-E5FEF8399E95}">
      <dsp:nvSpPr>
        <dsp:cNvPr id="0" name=""/>
        <dsp:cNvSpPr/>
      </dsp:nvSpPr>
      <dsp:spPr>
        <a:xfrm>
          <a:off x="476732" y="183247"/>
          <a:ext cx="706930" cy="705328"/>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s-MX" sz="700" kern="1200"/>
            <a:t>Revisión de literatura</a:t>
          </a:r>
        </a:p>
      </dsp:txBody>
      <dsp:txXfrm>
        <a:off x="580260" y="286540"/>
        <a:ext cx="499874" cy="498742"/>
      </dsp:txXfrm>
    </dsp:sp>
    <dsp:sp modelId="{4DBBC30B-0079-498F-9560-7A084ADA3504}">
      <dsp:nvSpPr>
        <dsp:cNvPr id="0" name=""/>
        <dsp:cNvSpPr/>
      </dsp:nvSpPr>
      <dsp:spPr>
        <a:xfrm rot="23342">
          <a:off x="1313519" y="421206"/>
          <a:ext cx="305578" cy="23804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s-MX" sz="600" kern="1200"/>
        </a:p>
      </dsp:txBody>
      <dsp:txXfrm>
        <a:off x="1313520" y="468574"/>
        <a:ext cx="234164" cy="142828"/>
      </dsp:txXfrm>
    </dsp:sp>
    <dsp:sp modelId="{28027C60-1928-4F54-97E7-E4309F5E7004}">
      <dsp:nvSpPr>
        <dsp:cNvPr id="0" name=""/>
        <dsp:cNvSpPr/>
      </dsp:nvSpPr>
      <dsp:spPr>
        <a:xfrm>
          <a:off x="1766438" y="191998"/>
          <a:ext cx="705328" cy="705328"/>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s-MX" sz="700" kern="1200"/>
            <a:t>Identificcion de los factores</a:t>
          </a:r>
        </a:p>
      </dsp:txBody>
      <dsp:txXfrm>
        <a:off x="1869731" y="295291"/>
        <a:ext cx="498742" cy="498742"/>
      </dsp:txXfrm>
    </dsp:sp>
    <dsp:sp modelId="{69906C0F-45F6-4A94-A537-FD750E61AEE5}">
      <dsp:nvSpPr>
        <dsp:cNvPr id="0" name=""/>
        <dsp:cNvSpPr/>
      </dsp:nvSpPr>
      <dsp:spPr>
        <a:xfrm rot="5519964">
          <a:off x="1980265" y="999631"/>
          <a:ext cx="237599" cy="23804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s-MX" sz="600" kern="1200"/>
        </a:p>
      </dsp:txBody>
      <dsp:txXfrm rot="10800000">
        <a:off x="2017148" y="1011623"/>
        <a:ext cx="166319" cy="142828"/>
      </dsp:txXfrm>
    </dsp:sp>
    <dsp:sp modelId="{3ADDD187-9003-4B53-919C-FDFE2E2F07BF}">
      <dsp:nvSpPr>
        <dsp:cNvPr id="0" name=""/>
        <dsp:cNvSpPr/>
      </dsp:nvSpPr>
      <dsp:spPr>
        <a:xfrm>
          <a:off x="1725884" y="1353687"/>
          <a:ext cx="705328" cy="705328"/>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s-MX" sz="700" kern="1200"/>
            <a:t>Clasificacion de las variables </a:t>
          </a:r>
        </a:p>
      </dsp:txBody>
      <dsp:txXfrm>
        <a:off x="1829177" y="1456980"/>
        <a:ext cx="498742" cy="498742"/>
      </dsp:txXfrm>
    </dsp:sp>
    <dsp:sp modelId="{972D94C0-099C-4869-AF83-AC8A6488BE38}">
      <dsp:nvSpPr>
        <dsp:cNvPr id="0" name=""/>
        <dsp:cNvSpPr/>
      </dsp:nvSpPr>
      <dsp:spPr>
        <a:xfrm rot="10802144">
          <a:off x="1358687" y="1586959"/>
          <a:ext cx="259485" cy="238048"/>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s-MX" sz="600" kern="1200"/>
        </a:p>
      </dsp:txBody>
      <dsp:txXfrm rot="10800000">
        <a:off x="1430101" y="1634591"/>
        <a:ext cx="188071" cy="142828"/>
      </dsp:txXfrm>
    </dsp:sp>
    <dsp:sp modelId="{7DA6EF50-0BEC-4ED9-9096-B6FAB7489D72}">
      <dsp:nvSpPr>
        <dsp:cNvPr id="0" name=""/>
        <dsp:cNvSpPr/>
      </dsp:nvSpPr>
      <dsp:spPr>
        <a:xfrm>
          <a:off x="358894" y="1352888"/>
          <a:ext cx="877393" cy="705328"/>
        </a:xfrm>
        <a:prstGeom prst="ellipse">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s-MX" sz="900" kern="1200" cap="small" baseline="0"/>
            <a:t>Priorización de las variables</a:t>
          </a:r>
        </a:p>
      </dsp:txBody>
      <dsp:txXfrm>
        <a:off x="487385" y="1456181"/>
        <a:ext cx="620411" cy="498742"/>
      </dsp:txXfrm>
    </dsp:sp>
    <dsp:sp modelId="{5299887E-F9C4-48C8-8998-7F8F21029E42}">
      <dsp:nvSpPr>
        <dsp:cNvPr id="0" name=""/>
        <dsp:cNvSpPr/>
      </dsp:nvSpPr>
      <dsp:spPr>
        <a:xfrm rot="16295810">
          <a:off x="690550" y="1008652"/>
          <a:ext cx="246300" cy="238048"/>
        </a:xfrm>
        <a:prstGeom prst="rightArrow">
          <a:avLst>
            <a:gd name="adj1" fmla="val 60000"/>
            <a:gd name="adj2" fmla="val 50000"/>
          </a:avLst>
        </a:prstGeom>
        <a:solidFill>
          <a:schemeClr val="bg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s-MX" sz="600" kern="1200"/>
        </a:p>
      </dsp:txBody>
      <dsp:txXfrm>
        <a:off x="725262" y="1091955"/>
        <a:ext cx="174886" cy="14282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Bar13</b:Tag>
    <b:SourceType>JournalArticle</b:SourceType>
    <b:Guid>{D4F1E891-FA40-48F0-9042-4848DD94DE1B}</b:Guid>
    <b:Author>
      <b:Author>
        <b:NameList>
          <b:Person>
            <b:Last>Andrés</b:Last>
            <b:First>Barrios</b:First>
            <b:Middle>F.</b:Middle>
          </b:Person>
        </b:NameList>
      </b:Author>
    </b:Author>
    <b:Title>Deserción universitaria en Chile:Incidencia del financiamiento y otros factores asociados</b:Title>
    <b:JournalName>Revista del centro de investigación social de un Techo para Chile</b:JournalName>
    <b:Year>2013</b:Year>
    <b:Pages>59-72</b:Pages>
    <b:RefOrder>2</b:RefOrder>
  </b:Source>
  <b:Source>
    <b:Tag>Col13</b:Tag>
    <b:SourceType>InternetSite</b:SourceType>
    <b:Guid>{E569F139-7F62-43E8-9246-E587FEC46D0C}</b:Guid>
    <b:Title>Colombia aprende</b:Title>
    <b:Year>2013</b:Year>
    <b:Month>abril </b:Month>
    <b:Day>01</b:Day>
    <b:URL>http://www.colombiaaprende.edu.co</b:URL>
    <b:RefOrder>1</b:RefOrder>
  </b:Source>
  <b:Source>
    <b:Tag>Glo16</b:Tag>
    <b:SourceType>InternetSite</b:SourceType>
    <b:Guid>{6D75668D-4B1F-497D-9AF2-07C5EE4EB6D5}</b:Guid>
    <b:Title>Globalgoals</b:Title>
    <b:Year>2016</b:Year>
    <b:Month>04</b:Month>
    <b:Day>07</b:Day>
    <b:URL>http://www.globalgoals.org/</b:URL>
    <b:RefOrder>1</b:RefOrder>
  </b:Source>
  <b:Source>
    <b:Tag>Eng16</b:Tag>
    <b:SourceType>InternetSite</b:SourceType>
    <b:Guid>{AB96D124-78FF-452E-8D74-B37B08053DDF}</b:Guid>
    <b:Year>2016</b:Year>
    <b:InternetSiteTitle>Engineeringchallenges</b:InternetSiteTitle>
    <b:Month>04</b:Month>
    <b:Day>07</b:Day>
    <b:URL>http://www.engineeringchallenges.org/</b:URL>
    <b:RefOrder>1</b:RefOrder>
  </b:Source>
</b:Sources>
</file>

<file path=customXml/itemProps1.xml><?xml version="1.0" encoding="utf-8"?>
<ds:datastoreItem xmlns:ds="http://schemas.openxmlformats.org/officeDocument/2006/customXml" ds:itemID="{C511378D-0D33-4404-8E11-4D86B95DF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7022</Words>
  <Characters>38627</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45558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STELLITE L645SP4135L</dc:creator>
  <cp:lastModifiedBy>Decanatura</cp:lastModifiedBy>
  <cp:revision>3</cp:revision>
  <cp:lastPrinted>2016-04-07T14:25:00Z</cp:lastPrinted>
  <dcterms:created xsi:type="dcterms:W3CDTF">2016-04-13T14:28:00Z</dcterms:created>
  <dcterms:modified xsi:type="dcterms:W3CDTF">2016-04-13T14:42:00Z</dcterms:modified>
</cp:coreProperties>
</file>