
<file path=[Content_Types].xml><?xml version="1.0" encoding="utf-8"?>
<Types xmlns="http://schemas.openxmlformats.org/package/2006/content-types">
  <Default Extension="bin" ContentType="application/vnd.ms-word.attachedToolbar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C2B5CE" w14:textId="77777777" w:rsidR="00B900C4" w:rsidRDefault="00B900C4" w:rsidP="008477DD">
      <w:pPr>
        <w:pStyle w:val="ADYNATituloArticulo"/>
        <w:rPr>
          <w:sz w:val="20"/>
          <w:lang w:val="es-CO"/>
        </w:rPr>
      </w:pPr>
    </w:p>
    <w:p w14:paraId="10C58032" w14:textId="77777777" w:rsidR="00D363A5" w:rsidRPr="00B900C4" w:rsidRDefault="00D363A5" w:rsidP="008477DD">
      <w:pPr>
        <w:pStyle w:val="ADYNATituloArticulo"/>
        <w:rPr>
          <w:sz w:val="20"/>
          <w:lang w:val="es-CO"/>
        </w:rPr>
      </w:pPr>
    </w:p>
    <w:p w14:paraId="03D3C846" w14:textId="1F9DD391" w:rsidR="00EF42AD" w:rsidRPr="00420857" w:rsidRDefault="00B62032" w:rsidP="008477DD">
      <w:pPr>
        <w:pStyle w:val="ADYNATituloArticulo"/>
        <w:rPr>
          <w:lang w:val="es-CO"/>
        </w:rPr>
      </w:pPr>
      <w:r>
        <w:rPr>
          <w:lang w:val="es-CO"/>
        </w:rPr>
        <w:t xml:space="preserve">Una mirada a los </w:t>
      </w:r>
      <w:r w:rsidRPr="00B62032">
        <w:rPr>
          <w:lang w:val="es-CO"/>
        </w:rPr>
        <w:t xml:space="preserve">MOOC </w:t>
      </w:r>
      <w:r>
        <w:rPr>
          <w:lang w:val="es-CO"/>
        </w:rPr>
        <w:t>desde la oferta de universidades colombianas</w:t>
      </w:r>
    </w:p>
    <w:p w14:paraId="6EB6CB31" w14:textId="77777777" w:rsidR="00EF42AD" w:rsidRPr="00420857" w:rsidRDefault="00EF42AD" w:rsidP="004F7AA0">
      <w:pPr>
        <w:rPr>
          <w:szCs w:val="20"/>
          <w:lang w:val="es-CO"/>
        </w:rPr>
      </w:pPr>
    </w:p>
    <w:p w14:paraId="759E059E" w14:textId="31B37CDC" w:rsidR="00EF42AD" w:rsidRPr="00F17B7E" w:rsidRDefault="00B62032" w:rsidP="000F3EB5">
      <w:pPr>
        <w:pStyle w:val="ADYNAAutores"/>
        <w:rPr>
          <w:sz w:val="22"/>
          <w:szCs w:val="26"/>
        </w:rPr>
      </w:pPr>
      <w:r w:rsidRPr="00B62032">
        <w:rPr>
          <w:sz w:val="22"/>
          <w:szCs w:val="22"/>
        </w:rPr>
        <w:t>Claudia Patricia Baloco Navaro</w:t>
      </w:r>
      <w:r w:rsidRPr="00F17B7E">
        <w:rPr>
          <w:i/>
          <w:sz w:val="22"/>
          <w:szCs w:val="26"/>
          <w:vertAlign w:val="superscript"/>
        </w:rPr>
        <w:t xml:space="preserve"> </w:t>
      </w:r>
      <w:r w:rsidR="00EF42AD" w:rsidRPr="00F17B7E">
        <w:rPr>
          <w:i/>
          <w:sz w:val="22"/>
          <w:szCs w:val="26"/>
          <w:vertAlign w:val="superscript"/>
        </w:rPr>
        <w:t>a</w:t>
      </w:r>
      <w:r w:rsidR="00046B5E" w:rsidRPr="00F17B7E">
        <w:rPr>
          <w:i/>
          <w:sz w:val="22"/>
          <w:szCs w:val="26"/>
        </w:rPr>
        <w:t xml:space="preserve"> </w:t>
      </w:r>
      <w:r w:rsidR="00046B5E" w:rsidRPr="00F17B7E">
        <w:rPr>
          <w:sz w:val="22"/>
          <w:szCs w:val="26"/>
        </w:rPr>
        <w:t>&amp;</w:t>
      </w:r>
      <w:r w:rsidR="008477DD" w:rsidRPr="00F17B7E">
        <w:rPr>
          <w:sz w:val="22"/>
          <w:szCs w:val="26"/>
        </w:rPr>
        <w:t xml:space="preserve"> </w:t>
      </w:r>
      <w:r w:rsidRPr="00B62032">
        <w:rPr>
          <w:sz w:val="22"/>
          <w:szCs w:val="26"/>
        </w:rPr>
        <w:t xml:space="preserve">Carmen Tulia Ricardo Barreto </w:t>
      </w:r>
      <w:r w:rsidR="00EF42AD" w:rsidRPr="00F17B7E">
        <w:rPr>
          <w:i/>
          <w:sz w:val="22"/>
          <w:szCs w:val="26"/>
          <w:vertAlign w:val="superscript"/>
        </w:rPr>
        <w:t>b</w:t>
      </w:r>
    </w:p>
    <w:p w14:paraId="4A4A711D" w14:textId="77777777" w:rsidR="00EF42AD" w:rsidRPr="00C63C47" w:rsidRDefault="00EF42AD" w:rsidP="00EF42AD">
      <w:pPr>
        <w:rPr>
          <w:sz w:val="16"/>
          <w:szCs w:val="20"/>
          <w:lang w:val="es-CO"/>
        </w:rPr>
      </w:pPr>
    </w:p>
    <w:p w14:paraId="24E242F9" w14:textId="244706CA" w:rsidR="00EF42AD" w:rsidRPr="00D47030" w:rsidRDefault="00EF42AD" w:rsidP="00CB0CC9">
      <w:pPr>
        <w:jc w:val="center"/>
        <w:rPr>
          <w:i/>
          <w:sz w:val="16"/>
          <w:szCs w:val="20"/>
          <w:lang w:val="es-ES_tradnl"/>
        </w:rPr>
      </w:pPr>
      <w:r w:rsidRPr="00D47030">
        <w:rPr>
          <w:i/>
          <w:sz w:val="16"/>
          <w:szCs w:val="20"/>
          <w:vertAlign w:val="superscript"/>
          <w:lang w:val="es-ES_tradnl"/>
        </w:rPr>
        <w:t>a</w:t>
      </w:r>
      <w:r w:rsidR="00FD0C5F" w:rsidRPr="00D47030">
        <w:rPr>
          <w:i/>
          <w:sz w:val="16"/>
          <w:szCs w:val="20"/>
          <w:vertAlign w:val="superscript"/>
          <w:lang w:val="es-ES_tradnl"/>
        </w:rPr>
        <w:t xml:space="preserve"> </w:t>
      </w:r>
      <w:r w:rsidRPr="00D47030">
        <w:rPr>
          <w:i/>
          <w:sz w:val="16"/>
          <w:szCs w:val="20"/>
          <w:lang w:val="es-ES_tradnl"/>
        </w:rPr>
        <w:t xml:space="preserve">Facultad de </w:t>
      </w:r>
      <w:r w:rsidR="00B62032">
        <w:rPr>
          <w:i/>
          <w:sz w:val="16"/>
          <w:szCs w:val="20"/>
          <w:lang w:val="es-ES_tradnl"/>
        </w:rPr>
        <w:t>ciencias de la Educación</w:t>
      </w:r>
      <w:r w:rsidRPr="00D47030">
        <w:rPr>
          <w:i/>
          <w:sz w:val="16"/>
          <w:szCs w:val="20"/>
          <w:lang w:val="es-ES_tradnl"/>
        </w:rPr>
        <w:t xml:space="preserve">, Universidad </w:t>
      </w:r>
      <w:r w:rsidR="00B62032">
        <w:rPr>
          <w:i/>
          <w:sz w:val="16"/>
          <w:szCs w:val="20"/>
          <w:lang w:val="es-ES_tradnl"/>
        </w:rPr>
        <w:t>del Atlántico</w:t>
      </w:r>
      <w:r w:rsidR="00CB0CC9" w:rsidRPr="00D47030">
        <w:rPr>
          <w:i/>
          <w:sz w:val="16"/>
          <w:szCs w:val="20"/>
          <w:lang w:val="es-ES_tradnl"/>
        </w:rPr>
        <w:t xml:space="preserve">, </w:t>
      </w:r>
      <w:r w:rsidR="00B62032">
        <w:rPr>
          <w:i/>
          <w:sz w:val="16"/>
          <w:szCs w:val="20"/>
          <w:lang w:val="es-ES_tradnl"/>
        </w:rPr>
        <w:t>Barranquilla</w:t>
      </w:r>
      <w:r w:rsidR="00FA7D61">
        <w:rPr>
          <w:i/>
          <w:sz w:val="16"/>
          <w:szCs w:val="20"/>
          <w:lang w:val="es-ES_tradnl"/>
        </w:rPr>
        <w:t xml:space="preserve">, </w:t>
      </w:r>
      <w:r w:rsidR="00CB0CC9" w:rsidRPr="00D47030">
        <w:rPr>
          <w:i/>
          <w:sz w:val="16"/>
          <w:szCs w:val="20"/>
          <w:lang w:val="es-ES_tradnl"/>
        </w:rPr>
        <w:t>Colombia</w:t>
      </w:r>
      <w:r w:rsidR="008477DD">
        <w:rPr>
          <w:i/>
          <w:sz w:val="16"/>
          <w:szCs w:val="20"/>
          <w:lang w:val="es-ES_tradnl"/>
        </w:rPr>
        <w:t xml:space="preserve">. </w:t>
      </w:r>
      <w:r w:rsidR="00B62032">
        <w:rPr>
          <w:i/>
          <w:sz w:val="16"/>
          <w:szCs w:val="20"/>
          <w:lang w:val="es-ES_tradnl"/>
        </w:rPr>
        <w:t>claudiabaloco</w:t>
      </w:r>
      <w:r w:rsidR="00FD0C5F" w:rsidRPr="00D47030">
        <w:rPr>
          <w:i/>
          <w:sz w:val="16"/>
          <w:szCs w:val="20"/>
          <w:lang w:val="es-ES_tradnl"/>
        </w:rPr>
        <w:t>@</w:t>
      </w:r>
      <w:r w:rsidR="00B62032">
        <w:rPr>
          <w:i/>
          <w:sz w:val="16"/>
          <w:szCs w:val="20"/>
          <w:lang w:val="es-ES_tradnl"/>
        </w:rPr>
        <w:t>mail.uniatlantico</w:t>
      </w:r>
      <w:r w:rsidR="00FD0C5F" w:rsidRPr="00D47030">
        <w:rPr>
          <w:i/>
          <w:sz w:val="16"/>
          <w:szCs w:val="20"/>
          <w:lang w:val="es-ES_tradnl"/>
        </w:rPr>
        <w:t>.edu.co</w:t>
      </w:r>
    </w:p>
    <w:p w14:paraId="17301158" w14:textId="18C80EE2" w:rsidR="00CB0CC9" w:rsidRPr="007C5FBB" w:rsidRDefault="00CB0CC9" w:rsidP="007C5FBB">
      <w:pPr>
        <w:pStyle w:val="ADYNAFiliacion"/>
      </w:pPr>
      <w:r w:rsidRPr="00FA7D61">
        <w:rPr>
          <w:vertAlign w:val="superscript"/>
        </w:rPr>
        <w:t>b</w:t>
      </w:r>
      <w:r w:rsidR="00FD0C5F" w:rsidRPr="00FA7D61">
        <w:rPr>
          <w:vertAlign w:val="superscript"/>
        </w:rPr>
        <w:t xml:space="preserve"> </w:t>
      </w:r>
      <w:r w:rsidR="00B62032">
        <w:t xml:space="preserve">Instituto de </w:t>
      </w:r>
      <w:r w:rsidR="00B62032" w:rsidRPr="00B62032">
        <w:t>E</w:t>
      </w:r>
      <w:r w:rsidR="00B62032">
        <w:t>studios en Educación,</w:t>
      </w:r>
      <w:r w:rsidR="00B62032" w:rsidRPr="00B62032">
        <w:t xml:space="preserve"> </w:t>
      </w:r>
      <w:r w:rsidR="00B62032">
        <w:t>Universidad del Norte</w:t>
      </w:r>
      <w:r w:rsidRPr="007C5FBB">
        <w:t xml:space="preserve">, </w:t>
      </w:r>
      <w:r w:rsidR="00B62032">
        <w:t>Barranquilla</w:t>
      </w:r>
      <w:r w:rsidR="00FA7D61" w:rsidRPr="00FA7D61">
        <w:t xml:space="preserve">, </w:t>
      </w:r>
      <w:r w:rsidRPr="007C5FBB">
        <w:t>Colombia</w:t>
      </w:r>
      <w:r w:rsidR="00FD0C5F" w:rsidRPr="007C5FBB">
        <w:t xml:space="preserve">. </w:t>
      </w:r>
      <w:r w:rsidR="00B62032">
        <w:t>cricardo</w:t>
      </w:r>
      <w:r w:rsidR="00FD0C5F" w:rsidRPr="007C5FBB">
        <w:t>@u</w:t>
      </w:r>
      <w:r w:rsidR="00B62032">
        <w:t>ninorte.</w:t>
      </w:r>
      <w:r w:rsidR="00FD0C5F" w:rsidRPr="007C5FBB">
        <w:t>edu.co</w:t>
      </w:r>
    </w:p>
    <w:p w14:paraId="2A160A01" w14:textId="77777777" w:rsidR="00EF42AD" w:rsidRPr="00B62032" w:rsidRDefault="00EF42AD" w:rsidP="00EF42AD">
      <w:pPr>
        <w:rPr>
          <w:sz w:val="16"/>
          <w:szCs w:val="20"/>
          <w:lang w:val="es-ES_tradnl"/>
        </w:rPr>
      </w:pPr>
    </w:p>
    <w:p w14:paraId="2A8A8236" w14:textId="77777777" w:rsidR="00B17492" w:rsidRPr="00B17492" w:rsidRDefault="00B17492" w:rsidP="00EF42AD">
      <w:pPr>
        <w:rPr>
          <w:szCs w:val="18"/>
          <w:lang w:val="es-ES_tradnl"/>
        </w:rPr>
      </w:pPr>
    </w:p>
    <w:p w14:paraId="1EB20DC9" w14:textId="77777777" w:rsidR="00B17492" w:rsidRPr="0076586D" w:rsidRDefault="00B17492" w:rsidP="00EF42AD">
      <w:pPr>
        <w:rPr>
          <w:szCs w:val="20"/>
          <w:lang w:val="es-CO"/>
        </w:rPr>
        <w:sectPr w:rsidR="00B17492" w:rsidRPr="0076586D" w:rsidSect="00181A6E">
          <w:headerReference w:type="default" r:id="rId9"/>
          <w:footerReference w:type="even" r:id="rId10"/>
          <w:footerReference w:type="default" r:id="rId11"/>
          <w:headerReference w:type="first" r:id="rId12"/>
          <w:footerReference w:type="first" r:id="rId13"/>
          <w:pgSz w:w="12242" w:h="15842" w:code="1"/>
          <w:pgMar w:top="1247" w:right="958" w:bottom="1247" w:left="958" w:header="731" w:footer="709" w:gutter="397"/>
          <w:cols w:sep="1" w:space="720"/>
          <w:titlePg/>
          <w:docGrid w:linePitch="360"/>
        </w:sectPr>
      </w:pPr>
    </w:p>
    <w:p w14:paraId="2FC7AC64" w14:textId="2EEEC5CB" w:rsidR="007E7F5B" w:rsidRPr="00B900C4" w:rsidRDefault="007E7F5B" w:rsidP="007E7F5B">
      <w:pPr>
        <w:pStyle w:val="Abstract"/>
        <w:spacing w:before="60" w:after="60"/>
        <w:ind w:firstLine="284"/>
        <w:rPr>
          <w:b w:val="0"/>
          <w:sz w:val="16"/>
          <w:lang w:val="es-ES_tradnl"/>
        </w:rPr>
      </w:pPr>
      <w:r w:rsidRPr="00B900C4">
        <w:rPr>
          <w:b w:val="0"/>
          <w:i/>
          <w:sz w:val="16"/>
          <w:lang w:val="es-ES_tradnl"/>
        </w:rPr>
        <w:t>Resumen</w:t>
      </w:r>
      <w:r w:rsidRPr="00B900C4">
        <w:rPr>
          <w:b w:val="0"/>
          <w:i/>
          <w:spacing w:val="-2"/>
          <w:sz w:val="16"/>
          <w:lang w:val="es-ES_tradnl"/>
        </w:rPr>
        <w:t>—</w:t>
      </w:r>
      <w:r w:rsidR="00B62032" w:rsidRPr="00B62032">
        <w:rPr>
          <w:b w:val="0"/>
          <w:sz w:val="16"/>
          <w:lang w:val="es-ES_tradnl"/>
        </w:rPr>
        <w:t xml:space="preserve"> El e-learning ha tomado un posicionamiento importante en el ámbito de la educación superior como una alternativa de formación innovadora, es así que muchos desarrollos en el área se han tornado modelos innovadores. Uno de los enfoques más relevantes en los últimos cinco años son los MOOC.  Conocidos por su acrónimo, en inglés: “</w:t>
      </w:r>
      <w:proofErr w:type="spellStart"/>
      <w:r w:rsidR="00B62032" w:rsidRPr="00B62032">
        <w:rPr>
          <w:b w:val="0"/>
          <w:sz w:val="16"/>
          <w:lang w:val="es-ES_tradnl"/>
        </w:rPr>
        <w:t>Massive</w:t>
      </w:r>
      <w:proofErr w:type="spellEnd"/>
      <w:r w:rsidR="00B62032" w:rsidRPr="00B62032">
        <w:rPr>
          <w:b w:val="0"/>
          <w:sz w:val="16"/>
          <w:lang w:val="es-ES_tradnl"/>
        </w:rPr>
        <w:t xml:space="preserve"> Open Online </w:t>
      </w:r>
      <w:proofErr w:type="spellStart"/>
      <w:r w:rsidR="00B62032" w:rsidRPr="00B62032">
        <w:rPr>
          <w:b w:val="0"/>
          <w:sz w:val="16"/>
          <w:lang w:val="es-ES_tradnl"/>
        </w:rPr>
        <w:t>Courses</w:t>
      </w:r>
      <w:proofErr w:type="spellEnd"/>
      <w:r w:rsidR="00B62032" w:rsidRPr="00B62032">
        <w:rPr>
          <w:b w:val="0"/>
          <w:sz w:val="16"/>
          <w:lang w:val="es-ES_tradnl"/>
        </w:rPr>
        <w:t>”.  Esta propuesta inicia con la definición de conceptos y evoluciones de los MOOC, identificando las plataformas más exitosas en educación. Se revisa y analiza la oferta de MOOC de universidades colombianas, como estrategia educativa. Se muestra la relevancia de este fenómeno, como una alternativa académica para la educación superior., teniendo en cuenta las plataformas, enfoque pedagógico, contenido y tendencias en la oferta de cursos MOOC.  Para el desarrollo del trabajo se realizó un estudio de tipo exploratorio y secuencial, que combina métodos bibliográficos y procedimientos estadísticos para análisis de información.</w:t>
      </w:r>
    </w:p>
    <w:p w14:paraId="2A427638" w14:textId="77777777" w:rsidR="00B62032" w:rsidRPr="005117E4" w:rsidRDefault="00B62032" w:rsidP="00B62032">
      <w:pPr>
        <w:pStyle w:val="Text"/>
        <w:rPr>
          <w:sz w:val="16"/>
          <w:szCs w:val="16"/>
          <w:lang w:val="es-CO"/>
        </w:rPr>
      </w:pPr>
      <w:r w:rsidRPr="005117E4">
        <w:rPr>
          <w:i/>
          <w:sz w:val="16"/>
          <w:szCs w:val="16"/>
          <w:lang w:val="es-CO"/>
        </w:rPr>
        <w:t>Índice de Términos—</w:t>
      </w:r>
      <w:r w:rsidRPr="005117E4">
        <w:rPr>
          <w:sz w:val="16"/>
          <w:szCs w:val="16"/>
          <w:lang w:val="es-CO"/>
        </w:rPr>
        <w:t xml:space="preserve"> Innovación, e-learning, educación, tendencias.</w:t>
      </w:r>
    </w:p>
    <w:p w14:paraId="52BE0807" w14:textId="77777777" w:rsidR="00B62032" w:rsidRPr="005117E4" w:rsidRDefault="00B62032" w:rsidP="00B62032">
      <w:pPr>
        <w:pStyle w:val="Text"/>
        <w:rPr>
          <w:sz w:val="16"/>
          <w:szCs w:val="16"/>
          <w:lang w:val="es-CO"/>
        </w:rPr>
      </w:pPr>
      <w:r w:rsidRPr="005117E4">
        <w:rPr>
          <w:sz w:val="16"/>
          <w:szCs w:val="16"/>
          <w:lang w:val="es-CO"/>
        </w:rPr>
        <w:t xml:space="preserve"> </w:t>
      </w:r>
    </w:p>
    <w:p w14:paraId="3F98B618" w14:textId="184A1E33" w:rsidR="007E7F5B" w:rsidRPr="00B62032" w:rsidRDefault="007E7F5B" w:rsidP="007E7F5B">
      <w:pPr>
        <w:rPr>
          <w:lang w:val="es-CO"/>
        </w:rPr>
      </w:pPr>
      <w:r w:rsidRPr="00D363A5">
        <w:rPr>
          <w:sz w:val="16"/>
          <w:szCs w:val="20"/>
          <w:lang w:val="es-ES_tradnl"/>
        </w:rPr>
        <w:t xml:space="preserve">Recibido: </w:t>
      </w:r>
      <w:r w:rsidR="00B62032">
        <w:rPr>
          <w:sz w:val="16"/>
          <w:szCs w:val="20"/>
          <w:lang w:val="es-ES_tradnl"/>
        </w:rPr>
        <w:t>17 junio de 2017</w:t>
      </w:r>
      <w:r w:rsidRPr="00D363A5">
        <w:rPr>
          <w:sz w:val="16"/>
          <w:szCs w:val="20"/>
          <w:lang w:val="es-ES_tradnl"/>
        </w:rPr>
        <w:t>.</w:t>
      </w:r>
      <w:r w:rsidR="00B62032">
        <w:rPr>
          <w:sz w:val="16"/>
          <w:szCs w:val="20"/>
          <w:lang w:val="es-ES_tradnl"/>
        </w:rPr>
        <w:t xml:space="preserve"> </w:t>
      </w:r>
      <w:r w:rsidRPr="00D363A5">
        <w:rPr>
          <w:sz w:val="16"/>
          <w:szCs w:val="20"/>
          <w:lang w:val="es-ES_tradnl"/>
        </w:rPr>
        <w:t xml:space="preserve"> </w:t>
      </w:r>
      <w:r w:rsidR="00B62032">
        <w:rPr>
          <w:sz w:val="16"/>
          <w:szCs w:val="20"/>
          <w:lang w:val="es-ES_tradnl"/>
        </w:rPr>
        <w:t xml:space="preserve">         </w:t>
      </w:r>
      <w:r>
        <w:rPr>
          <w:sz w:val="16"/>
          <w:szCs w:val="20"/>
          <w:lang w:val="es-ES_tradnl"/>
        </w:rPr>
        <w:t>Revisado:</w:t>
      </w:r>
      <w:r w:rsidR="00B62032">
        <w:rPr>
          <w:sz w:val="16"/>
          <w:szCs w:val="20"/>
          <w:lang w:val="es-ES_tradnl"/>
        </w:rPr>
        <w:t xml:space="preserve">     </w:t>
      </w:r>
      <w:r w:rsidRPr="00D363A5">
        <w:rPr>
          <w:sz w:val="16"/>
          <w:szCs w:val="20"/>
          <w:lang w:val="es-ES_tradnl"/>
        </w:rPr>
        <w:t xml:space="preserve"> </w:t>
      </w:r>
      <w:r w:rsidR="00F66B07" w:rsidRPr="00B62032">
        <w:rPr>
          <w:sz w:val="16"/>
          <w:szCs w:val="20"/>
          <w:lang w:val="es-CO"/>
        </w:rPr>
        <w:t>Aceptado:</w:t>
      </w:r>
    </w:p>
    <w:p w14:paraId="608E9D5E" w14:textId="77777777" w:rsidR="00BB1DC1" w:rsidRPr="00B62032" w:rsidRDefault="00BB1DC1" w:rsidP="007E7F5B">
      <w:pPr>
        <w:ind w:firstLine="284"/>
        <w:rPr>
          <w:spacing w:val="-5"/>
          <w:sz w:val="16"/>
          <w:szCs w:val="20"/>
          <w:lang w:val="es-CO"/>
        </w:rPr>
      </w:pPr>
    </w:p>
    <w:p w14:paraId="40A98BAF" w14:textId="77777777" w:rsidR="00B62032" w:rsidRDefault="00B62032" w:rsidP="00B62032">
      <w:pPr>
        <w:jc w:val="center"/>
        <w:rPr>
          <w:szCs w:val="16"/>
          <w:lang w:val="en"/>
        </w:rPr>
      </w:pPr>
      <w:r w:rsidRPr="005117E4">
        <w:rPr>
          <w:sz w:val="20"/>
          <w:szCs w:val="16"/>
          <w:lang w:val="en"/>
        </w:rPr>
        <w:t>A View to the MOOC from the offer Colombian universities</w:t>
      </w:r>
    </w:p>
    <w:p w14:paraId="35375B75" w14:textId="77777777" w:rsidR="007E7F5B" w:rsidRPr="00B62032" w:rsidRDefault="007E7F5B" w:rsidP="007E7F5B">
      <w:pPr>
        <w:jc w:val="center"/>
        <w:rPr>
          <w:sz w:val="16"/>
          <w:lang w:val="en"/>
        </w:rPr>
      </w:pPr>
    </w:p>
    <w:p w14:paraId="27BC5911" w14:textId="1F5FACD7" w:rsidR="007E7F5B" w:rsidRPr="00B900C4" w:rsidRDefault="007E7F5B" w:rsidP="007E7F5B">
      <w:pPr>
        <w:pStyle w:val="Abstract"/>
        <w:spacing w:before="0" w:after="60"/>
        <w:ind w:firstLine="284"/>
        <w:rPr>
          <w:sz w:val="16"/>
        </w:rPr>
      </w:pPr>
      <w:r w:rsidRPr="00B900C4">
        <w:rPr>
          <w:b w:val="0"/>
          <w:i/>
          <w:sz w:val="16"/>
        </w:rPr>
        <w:t>Abstract</w:t>
      </w:r>
      <w:r w:rsidRPr="00B900C4">
        <w:rPr>
          <w:b w:val="0"/>
          <w:i/>
          <w:spacing w:val="-2"/>
          <w:sz w:val="16"/>
        </w:rPr>
        <w:t xml:space="preserve">— </w:t>
      </w:r>
      <w:r w:rsidR="00B62032" w:rsidRPr="00B62032">
        <w:rPr>
          <w:b w:val="0"/>
          <w:sz w:val="16"/>
        </w:rPr>
        <w:t>E-learning has taken an important position in the field of higher education as an alternative of innovative training, so many developments in the area have become innovative models. One of the most relevant approaches in the last five years is the MOOC. Known by its acronym, in English: "Massive Open Online Courses". This proposal begins with the definition of concepts and evolutions of the MOOC, identifying the most successful platforms in education. The MOOC offer of Colombian universities is reviewed and analyzed as an educational strategy. The relevance of this phenomenon as an academic alternative for higher education is shown, considering the platforms, pedagogical approach, content and trends in the offer of MOOC courses. For the development of the work, an exploratory and sequential study was carried out, combining bibliographic methods and statistical procedures for information analysis</w:t>
      </w:r>
      <w:r w:rsidRPr="00B900C4">
        <w:rPr>
          <w:b w:val="0"/>
          <w:sz w:val="16"/>
        </w:rPr>
        <w:t>.</w:t>
      </w:r>
    </w:p>
    <w:p w14:paraId="2769C2B7" w14:textId="77777777" w:rsidR="00B62032" w:rsidRPr="005117E4" w:rsidRDefault="00B62032" w:rsidP="00B62032">
      <w:pPr>
        <w:ind w:firstLine="202"/>
        <w:rPr>
          <w:sz w:val="16"/>
          <w:szCs w:val="16"/>
          <w:lang w:val="en"/>
        </w:rPr>
      </w:pPr>
      <w:r w:rsidRPr="005117E4">
        <w:rPr>
          <w:i/>
          <w:sz w:val="16"/>
          <w:szCs w:val="16"/>
          <w:lang w:val="en"/>
        </w:rPr>
        <w:t>Index of Terms</w:t>
      </w:r>
      <w:r w:rsidRPr="005117E4">
        <w:rPr>
          <w:sz w:val="16"/>
          <w:szCs w:val="16"/>
          <w:lang w:val="en"/>
        </w:rPr>
        <w:t>- Innovation, e-learning, education, trends.</w:t>
      </w:r>
    </w:p>
    <w:p w14:paraId="60017E64" w14:textId="77777777" w:rsidR="00BB1DC1" w:rsidRPr="00B62032" w:rsidRDefault="00BB1DC1" w:rsidP="00BB1DC1">
      <w:pPr>
        <w:ind w:firstLine="284"/>
        <w:rPr>
          <w:spacing w:val="-5"/>
          <w:sz w:val="20"/>
          <w:szCs w:val="20"/>
          <w:lang w:val="en"/>
        </w:rPr>
      </w:pPr>
    </w:p>
    <w:p w14:paraId="345AB0B3" w14:textId="1C7BF7C7" w:rsidR="00B17492" w:rsidRPr="009062C9" w:rsidRDefault="00B62032" w:rsidP="005256F2">
      <w:pPr>
        <w:pStyle w:val="Ttulo1"/>
      </w:pPr>
      <w:r>
        <w:t xml:space="preserve">Introducción </w:t>
      </w:r>
    </w:p>
    <w:p w14:paraId="16398BDC" w14:textId="77777777" w:rsidR="00CD6899" w:rsidRPr="009062C9" w:rsidRDefault="00CD6899" w:rsidP="007E7F5B">
      <w:pPr>
        <w:ind w:firstLine="284"/>
        <w:rPr>
          <w:sz w:val="20"/>
          <w:lang w:val="es-ES_tradnl"/>
        </w:rPr>
      </w:pPr>
    </w:p>
    <w:p w14:paraId="7EB80416" w14:textId="77777777" w:rsidR="00CF11C1" w:rsidRDefault="00B62032" w:rsidP="00CF11C1">
      <w:pPr>
        <w:pStyle w:val="Text"/>
        <w:ind w:firstLine="284"/>
        <w:rPr>
          <w:lang w:val="es-CO"/>
        </w:rPr>
      </w:pPr>
      <w:r w:rsidRPr="005117E4">
        <w:rPr>
          <w:lang w:val="es-CO"/>
        </w:rPr>
        <w:t xml:space="preserve">Los continuos descubrimientos e innovaciones en materia científica y tecnológica han ubicado a la educación en escenarios de cambios inminentes, no solo desde la perspectiva del rol de las instituciones de educación y su gestión de conocimientos sino en la manera de interactuar con los estudiantes y de desarrollar los procesos de enseñanza aprendizaje.  Es así como estas continuas innovaciones tecnológicas y descubrimientos científicos, conducen de una forma u otra a cambiar contenidos, currículos, metodologías y metas educativas; desafiando a la educación con retos exigentes y progresivos donde es necesario conocer las tendencias </w:t>
      </w:r>
      <w:r w:rsidRPr="005117E4">
        <w:rPr>
          <w:lang w:val="es-CO"/>
        </w:rPr>
        <w:t xml:space="preserve">actuales que lideran procesos de cambios educativos a nivel mundial. Liderando estos listados están las necesidades de ampliar el acceso y la oportunidad para que los estudiantes participen y se beneficien de la educación superior y reduzcan el costo de la educación superior. Son muchos los investigadores que afirmas que los MOOC proporcionan una nueva manera de abordar estos desafíos [1]. Sin embargo, los MOOC son dinámicos y continuarán evolucionando como cursos abiertos, masivos y en línea. Cabe resaltar que el fenómeno MOOC se consolida como área de investigación y tiene su punto de partida en 2012 [2]. </w:t>
      </w:r>
    </w:p>
    <w:p w14:paraId="1B7E5E40" w14:textId="77777777" w:rsidR="00CF11C1" w:rsidRDefault="00B62032" w:rsidP="00CF11C1">
      <w:pPr>
        <w:pStyle w:val="Text"/>
        <w:ind w:firstLine="284"/>
        <w:rPr>
          <w:lang w:val="es-CO"/>
        </w:rPr>
      </w:pPr>
      <w:r w:rsidRPr="005117E4">
        <w:rPr>
          <w:lang w:val="es-CO"/>
        </w:rPr>
        <w:t xml:space="preserve">Durante décadas, las universidades han experimentado ofrecer cursos a estudiantes que no están en el campus. Se han ofrecido por correspondencia, por la radio, por televisión y finalmente por internet. El aprendizaje a distancia ha sido apoyado por escuelas que buscan ampliar su alcance y acomodar a los estudiantes que no están en campus y una de las innovaciones más recientes a este respecto: los MOOC [3].  De acuerdo con Rama, [4], “la educación superior está asociada a nuevos paradigmas de cómo se crea el conocimiento, como se apropia, como se comparte, como se actualiza y sin duda como se usa y para este último, la innovación (p.6). Sin duda estos factores reorientan constantemente las propuestas educativas de las universidades. De manera que se debe continuar con los esfuerzos ingentes a fin de mejorar el acceso y garantizar la calidad de la educación. Este empeño debe continuar. Pero el acceso, por sí solo, no es suficiente. Será preciso hacer mucho más [5]. </w:t>
      </w:r>
    </w:p>
    <w:p w14:paraId="4AD60F72" w14:textId="77777777" w:rsidR="00CF11C1" w:rsidRDefault="00B62032" w:rsidP="00CF11C1">
      <w:pPr>
        <w:pStyle w:val="Text"/>
        <w:ind w:firstLine="284"/>
        <w:rPr>
          <w:lang w:val="es-CO"/>
        </w:rPr>
      </w:pPr>
      <w:r w:rsidRPr="005117E4">
        <w:rPr>
          <w:lang w:val="es-CO"/>
        </w:rPr>
        <w:t xml:space="preserve">Con este documento se pretende analizar desde un punto de vista formativo, los aportes que podemos encontrar en los MOOC, su uso en actividades educativas tomando en principio un enfoque exploratorio. Iniciaré con una breve recopilación de diferentes perspectivas de autores sobre los MOOC, analizando diferentes miradas, experiencias y propuestas para estudiar la conceptualización de los MOOC aplicados a la educación superior. Se analizará la evolución del concepto y la aplicación en diferentes áreas para llegar a la identificación de las Universidades en Colombia que se han lanzado a ofrecer MOOC en diferentes plataformas. Luego analizaré las tendencias de los MOOC y los contenidos desde la oferta realizada por las universidades en Colombia. </w:t>
      </w:r>
    </w:p>
    <w:p w14:paraId="261C7956" w14:textId="02211959" w:rsidR="00B62032" w:rsidRPr="005117E4" w:rsidRDefault="00B62032" w:rsidP="00CF11C1">
      <w:pPr>
        <w:pStyle w:val="Text"/>
        <w:ind w:firstLine="284"/>
        <w:rPr>
          <w:lang w:val="es-CO"/>
        </w:rPr>
      </w:pPr>
      <w:r w:rsidRPr="005117E4">
        <w:rPr>
          <w:lang w:val="es-CO"/>
        </w:rPr>
        <w:lastRenderedPageBreak/>
        <w:t>De acuerdo con lo anterior y con las investigaciones a consultar se busca dar respuestas a preguntas como: ¿Qué impacto han tenido los MOOC en la educación superior? ¿Cómo la evolución de los diferentes modelos permite incluir nuevas herramientas y conceptos como los MOOC dentro del e-learning? Y a partir de los cambios que presentan los MOOC surgen más preguntas: ¿Qué representan los MOOC para las Universidades Colombianas? ¿Por qué la universidad debería ofrecer más cursos MOOC? Las respuestas a estas preguntas son importantes para entender cómo las MOOC pueden expandir el acceso a la educación superior y proporcionar oportunidades de educación superior de menor costo.</w:t>
      </w:r>
    </w:p>
    <w:p w14:paraId="0E299DE9" w14:textId="098CFB6F" w:rsidR="00CD6899" w:rsidRPr="009062C9" w:rsidRDefault="009062C9" w:rsidP="00CD6899">
      <w:pPr>
        <w:ind w:firstLine="284"/>
        <w:rPr>
          <w:sz w:val="20"/>
          <w:szCs w:val="20"/>
          <w:lang w:val="es-ES_tradnl"/>
        </w:rPr>
      </w:pPr>
      <w:r>
        <w:rPr>
          <w:spacing w:val="-5"/>
          <w:sz w:val="20"/>
          <w:szCs w:val="20"/>
          <w:lang w:val="es-ES_tradnl"/>
        </w:rPr>
        <w:t>.</w:t>
      </w:r>
    </w:p>
    <w:p w14:paraId="6D9BB92D" w14:textId="77777777" w:rsidR="00CD6899" w:rsidRPr="009062C9" w:rsidRDefault="00CD6899" w:rsidP="00B25DBB">
      <w:pPr>
        <w:rPr>
          <w:szCs w:val="20"/>
          <w:lang w:val="es-ES_tradnl"/>
        </w:rPr>
      </w:pPr>
    </w:p>
    <w:p w14:paraId="20A11AA6" w14:textId="1B525A63" w:rsidR="00CD6899" w:rsidRPr="009062C9" w:rsidRDefault="00B62032" w:rsidP="005256F2">
      <w:pPr>
        <w:pStyle w:val="Ttulo1"/>
      </w:pPr>
      <w:r>
        <w:t>Antecedentes</w:t>
      </w:r>
    </w:p>
    <w:p w14:paraId="5F8821BA" w14:textId="77777777" w:rsidR="00E97C50" w:rsidRDefault="00E97C50" w:rsidP="006903C4">
      <w:pPr>
        <w:ind w:firstLine="284"/>
        <w:rPr>
          <w:szCs w:val="20"/>
          <w:lang w:val="es-ES_tradnl"/>
        </w:rPr>
      </w:pPr>
    </w:p>
    <w:p w14:paraId="1F35E6FE" w14:textId="77777777" w:rsidR="00B62032" w:rsidRPr="005117E4" w:rsidRDefault="00B62032" w:rsidP="00CF11C1">
      <w:pPr>
        <w:pStyle w:val="Text"/>
        <w:ind w:firstLine="284"/>
        <w:rPr>
          <w:lang w:val="es-CO"/>
        </w:rPr>
      </w:pPr>
      <w:r w:rsidRPr="005117E4">
        <w:rPr>
          <w:lang w:val="es-CO"/>
        </w:rPr>
        <w:t>Para definir un MOOC nos apoyamos en su acrónimo, en inglés: “</w:t>
      </w:r>
      <w:proofErr w:type="spellStart"/>
      <w:r w:rsidRPr="005117E4">
        <w:rPr>
          <w:lang w:val="es-CO"/>
        </w:rPr>
        <w:t>Massive</w:t>
      </w:r>
      <w:proofErr w:type="spellEnd"/>
      <w:r w:rsidRPr="005117E4">
        <w:rPr>
          <w:lang w:val="es-CO"/>
        </w:rPr>
        <w:t xml:space="preserve"> Open Online </w:t>
      </w:r>
      <w:proofErr w:type="spellStart"/>
      <w:r w:rsidRPr="005117E4">
        <w:rPr>
          <w:lang w:val="es-CO"/>
        </w:rPr>
        <w:t>Courses</w:t>
      </w:r>
      <w:proofErr w:type="spellEnd"/>
      <w:r w:rsidRPr="005117E4">
        <w:rPr>
          <w:lang w:val="es-CO"/>
        </w:rPr>
        <w:t>” que, al traducirlo al español, “Cursos en Línea Masivos y Abiertos” encontramos el término COMA. Sin embargo, el vocablo MOOC se ha generalizado en los países de habla hispana y de acuerdo con Cabero, Llorente y Vázquez, [6]:</w:t>
      </w:r>
    </w:p>
    <w:p w14:paraId="71EB6A06" w14:textId="77777777" w:rsidR="00B62032" w:rsidRPr="005117E4" w:rsidRDefault="00B62032" w:rsidP="00B62032">
      <w:pPr>
        <w:pStyle w:val="Text"/>
        <w:ind w:left="202" w:firstLine="0"/>
        <w:rPr>
          <w:lang w:val="es-CO"/>
        </w:rPr>
      </w:pPr>
      <w:r w:rsidRPr="005117E4">
        <w:rPr>
          <w:lang w:val="es-CO"/>
        </w:rPr>
        <w:t>un MOOC debe presentar características como: recurso educativo que tiene cierta semejanza con una clase, con un aula; tiene unas fechas de inicio y finalización; cuenta con mecanismos de evaluación; es online; es de uso gratuito; es abierto a través de la web, y no tiene criterios de admisión y además permite la participación interactiva a gran escala de cientos de estudiantes (p.3)</w:t>
      </w:r>
    </w:p>
    <w:p w14:paraId="0E9AE72F" w14:textId="77777777" w:rsidR="00CF11C1" w:rsidRDefault="00B62032" w:rsidP="00CF11C1">
      <w:pPr>
        <w:pStyle w:val="Text"/>
        <w:ind w:firstLine="284"/>
        <w:rPr>
          <w:lang w:val="es-CO"/>
        </w:rPr>
      </w:pPr>
      <w:r w:rsidRPr="005117E4">
        <w:rPr>
          <w:lang w:val="es-CO"/>
        </w:rPr>
        <w:t>Los cursos en línea, masivos y abiertos se ofrecen en línea a cualquier estudiante con un computador y una conexión a Internet. Nacieron en las universidades de élite de los Estados Unidos, incluyendo el Instituto de Tecnología de Massachusetts (MIT), la Universidad de Harvard y la Universidad de Stanford. De acuerdo con García Aretio [7]: “Puede entenderse, por tanto, que los MOOC no es otra cosa que una forma evolucionada de educación a distancia. Eso sí, de una modalidad en línea, masiva y abierta. Pero esta modalidad masiva y más o menos abierta ya la ha habido en diferentes propuestas de algunas instituciones” (p.16)</w:t>
      </w:r>
      <w:r w:rsidR="00CF11C1">
        <w:rPr>
          <w:lang w:val="es-CO"/>
        </w:rPr>
        <w:t>.</w:t>
      </w:r>
    </w:p>
    <w:p w14:paraId="6855A097" w14:textId="77777777" w:rsidR="00CF11C1" w:rsidRDefault="00B62032" w:rsidP="00CF11C1">
      <w:pPr>
        <w:pStyle w:val="Text"/>
        <w:ind w:firstLine="284"/>
        <w:rPr>
          <w:lang w:val="es-CO"/>
        </w:rPr>
      </w:pPr>
      <w:r w:rsidRPr="005117E4">
        <w:rPr>
          <w:lang w:val="es-CO"/>
        </w:rPr>
        <w:t xml:space="preserve">Los MOOC libres y abiertos, sin límite de inscripción, tienen el potencial de multiplicar grandemente su número de participantes y llegar a miles de estudiantes, lo que significa que las MOOC pueden ser la forma más accesible de educación superior jamás concebida.  A pesar de que el término MOOC fue acuñado en 2008, las MOOC comenzaron a recibir una atención significativa en 2012 cuando proveedores de MOOC, como </w:t>
      </w:r>
      <w:proofErr w:type="spellStart"/>
      <w:r w:rsidRPr="005117E4">
        <w:rPr>
          <w:lang w:val="es-CO"/>
        </w:rPr>
        <w:t>Udacity</w:t>
      </w:r>
      <w:proofErr w:type="spellEnd"/>
      <w:r w:rsidRPr="005117E4">
        <w:rPr>
          <w:lang w:val="es-CO"/>
        </w:rPr>
        <w:t xml:space="preserve"> y Coursera se fundaron y comenzaron a ofrecer cursos [8].</w:t>
      </w:r>
    </w:p>
    <w:p w14:paraId="01E8E1CA" w14:textId="77777777" w:rsidR="00CF11C1" w:rsidRDefault="00B62032" w:rsidP="00CF11C1">
      <w:pPr>
        <w:pStyle w:val="Text"/>
        <w:ind w:firstLine="284"/>
        <w:rPr>
          <w:lang w:val="es-CO"/>
        </w:rPr>
      </w:pPr>
      <w:r w:rsidRPr="005117E4">
        <w:rPr>
          <w:lang w:val="es-CO"/>
        </w:rPr>
        <w:t xml:space="preserve">Los MOOC, se han presentado bajo una diversidad de organización y diseño, que no solo implican visiones diferentes sobre lo que debe ser el proceso formativo, sino también respecto a lo que en él mismo deben hacer los estudiantes, las formas en que deben ser evaluados, lo que deben hacer en los mismos, y las maneras de diseñar los contenidos.  Inicialmente, algunos investigadores distinguen entre dos tipos de MOOC: </w:t>
      </w:r>
      <w:r w:rsidRPr="005117E4">
        <w:rPr>
          <w:lang w:val="es-CO"/>
        </w:rPr>
        <w:t xml:space="preserve">los </w:t>
      </w:r>
      <w:proofErr w:type="spellStart"/>
      <w:r w:rsidRPr="005117E4">
        <w:rPr>
          <w:lang w:val="es-CO"/>
        </w:rPr>
        <w:t>cMOOCs</w:t>
      </w:r>
      <w:proofErr w:type="spellEnd"/>
      <w:r w:rsidRPr="005117E4">
        <w:rPr>
          <w:lang w:val="es-CO"/>
        </w:rPr>
        <w:t xml:space="preserve"> y </w:t>
      </w:r>
      <w:proofErr w:type="spellStart"/>
      <w:r w:rsidRPr="005117E4">
        <w:rPr>
          <w:lang w:val="es-CO"/>
        </w:rPr>
        <w:t>xMOOCs</w:t>
      </w:r>
      <w:proofErr w:type="spellEnd"/>
      <w:r w:rsidRPr="005117E4">
        <w:rPr>
          <w:lang w:val="es-CO"/>
        </w:rPr>
        <w:t xml:space="preserve">. Los primeros muy ligados al nuevo enfoque pedagógico </w:t>
      </w:r>
      <w:proofErr w:type="spellStart"/>
      <w:r w:rsidRPr="005117E4">
        <w:rPr>
          <w:lang w:val="es-CO"/>
        </w:rPr>
        <w:t>conectivista</w:t>
      </w:r>
      <w:proofErr w:type="spellEnd"/>
      <w:r w:rsidRPr="005117E4">
        <w:rPr>
          <w:lang w:val="es-CO"/>
        </w:rPr>
        <w:t xml:space="preserve">, con la cual, Siemens [9], pretendía explorar y experimentar con nuevas formas de interacción en línea, no estando especialmente interesado en si ésta era una fórmula para ayudar a las universidades a mejorar su docencia, sino en desarrollar propuestas en el campo del aprendizaje y la enseñanza. Por otra parte, los </w:t>
      </w:r>
      <w:proofErr w:type="spellStart"/>
      <w:r w:rsidRPr="005117E4">
        <w:rPr>
          <w:lang w:val="es-CO"/>
        </w:rPr>
        <w:t>xMOOC</w:t>
      </w:r>
      <w:proofErr w:type="spellEnd"/>
      <w:r w:rsidRPr="005117E4">
        <w:rPr>
          <w:lang w:val="es-CO"/>
        </w:rPr>
        <w:t xml:space="preserve"> (extensión MOOC), tipificados por cursos instructivos ofrecidos por Coursera, </w:t>
      </w:r>
      <w:proofErr w:type="spellStart"/>
      <w:r w:rsidRPr="005117E4">
        <w:rPr>
          <w:lang w:val="es-CO"/>
        </w:rPr>
        <w:t>Udacity</w:t>
      </w:r>
      <w:proofErr w:type="spellEnd"/>
      <w:r w:rsidRPr="005117E4">
        <w:rPr>
          <w:lang w:val="es-CO"/>
        </w:rPr>
        <w:t xml:space="preserve"> y </w:t>
      </w:r>
      <w:proofErr w:type="spellStart"/>
      <w:r w:rsidRPr="005117E4">
        <w:rPr>
          <w:lang w:val="es-CO"/>
        </w:rPr>
        <w:t>edX</w:t>
      </w:r>
      <w:proofErr w:type="spellEnd"/>
      <w:r w:rsidRPr="005117E4">
        <w:rPr>
          <w:lang w:val="es-CO"/>
        </w:rPr>
        <w:t xml:space="preserve">, muestran un enfoque de aprendizaje más tradicional de la duplicación de conocimientos a través de presentaciones en video y breves pruebas y exámenes [10]. </w:t>
      </w:r>
    </w:p>
    <w:p w14:paraId="5E6CE2EA" w14:textId="77777777" w:rsidR="00CF11C1" w:rsidRDefault="00B62032" w:rsidP="00CF11C1">
      <w:pPr>
        <w:pStyle w:val="Text"/>
        <w:ind w:firstLine="284"/>
        <w:rPr>
          <w:lang w:val="es-CO"/>
        </w:rPr>
      </w:pPr>
      <w:r w:rsidRPr="005117E4">
        <w:rPr>
          <w:lang w:val="es-CO"/>
        </w:rPr>
        <w:t xml:space="preserve">La plataforma </w:t>
      </w:r>
      <w:proofErr w:type="spellStart"/>
      <w:r w:rsidRPr="005117E4">
        <w:rPr>
          <w:lang w:val="es-CO"/>
        </w:rPr>
        <w:t>edX</w:t>
      </w:r>
      <w:proofErr w:type="spellEnd"/>
      <w:r w:rsidRPr="005117E4">
        <w:rPr>
          <w:lang w:val="es-CO"/>
        </w:rPr>
        <w:t xml:space="preserve"> lanzada también en 2012 por la Universidad de Harvard y el Instituto de Tecnología de Massachusetts (MIT), estuvo dirigida por un profesor de computación del MIT, ofreció sus primeros siete cursos en octubre de 2012, uno de ellos con 53.000 inscripciones de estudiantes y para junio de 2013 ya contaba con 28 socios, </w:t>
      </w:r>
      <w:proofErr w:type="spellStart"/>
      <w:r w:rsidRPr="005117E4">
        <w:rPr>
          <w:lang w:val="es-CO"/>
        </w:rPr>
        <w:t>edX</w:t>
      </w:r>
      <w:proofErr w:type="spellEnd"/>
      <w:r w:rsidRPr="005117E4">
        <w:rPr>
          <w:lang w:val="es-CO"/>
        </w:rPr>
        <w:t xml:space="preserve"> [11]. </w:t>
      </w:r>
    </w:p>
    <w:p w14:paraId="6BDD405A" w14:textId="77777777" w:rsidR="00CF11C1" w:rsidRDefault="00B62032" w:rsidP="00CF11C1">
      <w:pPr>
        <w:pStyle w:val="Text"/>
        <w:ind w:firstLine="284"/>
        <w:rPr>
          <w:lang w:val="es-CO"/>
        </w:rPr>
      </w:pPr>
      <w:r w:rsidRPr="005117E4">
        <w:rPr>
          <w:lang w:val="es-CO"/>
        </w:rPr>
        <w:t xml:space="preserve">El crecimiento de Coursera en muchos aspectos ha sido notable: ha acumulado más de 26 millones de usuarios registrados en sus diferentes cursos y en otras ofertas: éstos incluyen 2.000 cursos en 180 especializaciones; Maestría en negocios, informática, innovación y contabilidad; Y cursos para empresas y organizaciones sin fines de lucro.  Además, para el 2016 cuenta con 150 socios universitarios, [12].  </w:t>
      </w:r>
    </w:p>
    <w:p w14:paraId="610A13DB" w14:textId="77777777" w:rsidR="00CF11C1" w:rsidRDefault="00B62032" w:rsidP="00CF11C1">
      <w:pPr>
        <w:pStyle w:val="Text"/>
        <w:ind w:firstLine="284"/>
        <w:rPr>
          <w:lang w:val="es-CO"/>
        </w:rPr>
      </w:pPr>
      <w:r w:rsidRPr="005117E4">
        <w:rPr>
          <w:lang w:val="es-CO"/>
        </w:rPr>
        <w:t xml:space="preserve">Otra plataforma importante, considerada la primera en iberoamericana es </w:t>
      </w:r>
      <w:proofErr w:type="spellStart"/>
      <w:r w:rsidRPr="005117E4">
        <w:rPr>
          <w:lang w:val="es-CO"/>
        </w:rPr>
        <w:t>MiriadaX</w:t>
      </w:r>
      <w:proofErr w:type="spellEnd"/>
      <w:r w:rsidRPr="005117E4">
        <w:rPr>
          <w:lang w:val="es-CO"/>
        </w:rPr>
        <w:t xml:space="preserve">, en idioma español, lanzada en 2013. Es una iniciativa conjunta entre Telefónica Educación Digital y </w:t>
      </w:r>
      <w:proofErr w:type="spellStart"/>
      <w:r w:rsidRPr="005117E4">
        <w:rPr>
          <w:lang w:val="es-CO"/>
        </w:rPr>
        <w:t>Universia</w:t>
      </w:r>
      <w:proofErr w:type="spellEnd"/>
      <w:r w:rsidRPr="005117E4">
        <w:rPr>
          <w:lang w:val="es-CO"/>
        </w:rPr>
        <w:t xml:space="preserve">, para el 2016 cuenta con 2 millones de alumnos, con un crecimiento superior a las cien mil inscripciones mensuales.  Entre los objetivos importantes de </w:t>
      </w:r>
      <w:proofErr w:type="spellStart"/>
      <w:r w:rsidRPr="005117E4">
        <w:rPr>
          <w:lang w:val="es-CO"/>
        </w:rPr>
        <w:t>MiríadaX</w:t>
      </w:r>
      <w:proofErr w:type="spellEnd"/>
      <w:r w:rsidRPr="005117E4">
        <w:rPr>
          <w:lang w:val="es-CO"/>
        </w:rPr>
        <w:t xml:space="preserve"> está, la democratizar el acceso al conocimiento, ofreciendo en abierto una amplia oferta formativa a más de 600 millones de iberoamericanos; reduciendo los costos de formación y generando comunidades de aprendizaje colaborativo internacional que eliminan las fronteras del conocimiento, [13]. </w:t>
      </w:r>
    </w:p>
    <w:p w14:paraId="0482CB18" w14:textId="5858C854" w:rsidR="00640F0C" w:rsidRDefault="00B62032" w:rsidP="00CF11C1">
      <w:pPr>
        <w:pStyle w:val="Text"/>
        <w:ind w:firstLine="284"/>
        <w:rPr>
          <w:lang w:val="es-ES_tradnl"/>
        </w:rPr>
      </w:pPr>
      <w:r w:rsidRPr="005117E4">
        <w:rPr>
          <w:lang w:val="es-CO"/>
        </w:rPr>
        <w:t>La innovación en las universidades latinoamericana y del mundo no es sólo una cuestión de TIC, de usar o no nueva plataformas tecnológicas o el uso de internet como recursos educativos en las actividades académicas; se trata más bien de que la universidad se repiense en su visión y misión respecto a sus funciones básicas de docencia, investigación y extensión, y por esa vía decida de qué manera la tecnología podría servir a este propósito [14].   Desde mi punto de vista, los esfuerzos más interesantes y quizás más sostenibles serán aquellos que no están intentando reemplazar a las instituciones educativas existentes, sino aquellas que están proporcionando una nueva oportunidad a personas que de otra manera no tendrían tiempo, logística o dinero para aprender algo de otra manera</w:t>
      </w:r>
      <w:r w:rsidR="00E97C50">
        <w:rPr>
          <w:lang w:val="es-ES_tradnl"/>
        </w:rPr>
        <w:t>.</w:t>
      </w:r>
    </w:p>
    <w:p w14:paraId="5258175C" w14:textId="2E26F160" w:rsidR="00B62032" w:rsidRDefault="00B62032" w:rsidP="00B62032">
      <w:pPr>
        <w:ind w:firstLine="284"/>
        <w:rPr>
          <w:sz w:val="20"/>
          <w:szCs w:val="20"/>
          <w:lang w:val="es-ES_tradnl"/>
        </w:rPr>
      </w:pPr>
    </w:p>
    <w:p w14:paraId="4E610FB2" w14:textId="3585BF39" w:rsidR="00B62032" w:rsidRPr="009062C9" w:rsidRDefault="00B62032" w:rsidP="00B62032">
      <w:pPr>
        <w:pStyle w:val="Ttulo1"/>
      </w:pPr>
      <w:r>
        <w:t>Metodología</w:t>
      </w:r>
    </w:p>
    <w:p w14:paraId="057BDFAA" w14:textId="77777777" w:rsidR="00B62032" w:rsidRDefault="00B62032" w:rsidP="00B62032">
      <w:pPr>
        <w:ind w:firstLine="284"/>
        <w:rPr>
          <w:sz w:val="20"/>
          <w:szCs w:val="20"/>
          <w:lang w:val="es-ES_tradnl"/>
        </w:rPr>
      </w:pPr>
    </w:p>
    <w:p w14:paraId="076E0F7F" w14:textId="77777777" w:rsidR="00CF11C1" w:rsidRDefault="00B62032" w:rsidP="00CF11C1">
      <w:pPr>
        <w:pStyle w:val="Text"/>
        <w:ind w:firstLine="284"/>
        <w:rPr>
          <w:lang w:val="es-CO"/>
        </w:rPr>
      </w:pPr>
      <w:bookmarkStart w:id="0" w:name="_Hlk485464770"/>
      <w:r w:rsidRPr="005117E4">
        <w:rPr>
          <w:lang w:val="es-CO"/>
        </w:rPr>
        <w:t xml:space="preserve">Para alcanzar los objetivos propuestos se ha llevado a cabo una metodología, que combina métodos bibliográficos con la </w:t>
      </w:r>
      <w:r w:rsidRPr="005117E4">
        <w:rPr>
          <w:lang w:val="es-CO"/>
        </w:rPr>
        <w:lastRenderedPageBreak/>
        <w:t xml:space="preserve">acumulada de datos directamente de las fuentes principales y el procedimiento estadístico de los mismos para la obtención de información. Al principio, de carácter teórico, se ha elaborado un componente bibliográfico y documental compuesto por artículos de revistas científicas, blogs corporativos y personales y revistas de divulgación. A través del análisis de dichas publicaciones y documentos, fundamentalmente de carácter secundario, se han sintetizado las principales líneas de investigación sobre los MOOC y las plataformas proveedoras para elaborar el módulo teórico de la exploración. Como estudio exploratorio este trabajo será en primera instancia una primera parte para obtener información sobre la posibilidad de llevar a cabo una investigación más completa respecto a contextos particulares, o indagar nuevos problemas [15]. </w:t>
      </w:r>
    </w:p>
    <w:p w14:paraId="5E7731A4" w14:textId="45EBF04A" w:rsidR="00B62032" w:rsidRDefault="00B62032" w:rsidP="00CF11C1">
      <w:pPr>
        <w:pStyle w:val="Text"/>
        <w:ind w:firstLine="284"/>
        <w:rPr>
          <w:lang w:val="es-CO"/>
        </w:rPr>
      </w:pPr>
      <w:r w:rsidRPr="005117E4">
        <w:rPr>
          <w:lang w:val="es-CO"/>
        </w:rPr>
        <w:t xml:space="preserve">La extracción y el análisis de los datos del presente trabajo se ha realizado a través de la información disponible en las páginas web de cada una de las plataformas estudiadas, a saber: Coursera, </w:t>
      </w:r>
      <w:proofErr w:type="spellStart"/>
      <w:r w:rsidRPr="005117E4">
        <w:rPr>
          <w:lang w:val="es-CO"/>
        </w:rPr>
        <w:t>EdX</w:t>
      </w:r>
      <w:proofErr w:type="spellEnd"/>
      <w:r w:rsidRPr="005117E4">
        <w:rPr>
          <w:lang w:val="es-CO"/>
        </w:rPr>
        <w:t xml:space="preserve">, Miríada X y </w:t>
      </w:r>
      <w:proofErr w:type="spellStart"/>
      <w:r w:rsidRPr="005117E4">
        <w:rPr>
          <w:lang w:val="es-CO"/>
        </w:rPr>
        <w:t>FutureLearn</w:t>
      </w:r>
      <w:proofErr w:type="spellEnd"/>
      <w:r w:rsidRPr="005117E4">
        <w:rPr>
          <w:lang w:val="es-CO"/>
        </w:rPr>
        <w:t>. El procedimiento ha sido el siguiente: La primera fase de obtención de datos ha consistido en el vaciado de información relativa a los MOOC impartidos en cada una de las plataformas, haciendo las consultas relativas a universidades de Colombia. Luego, se ha tratado la información por separado. Una vez recopilada la información, se han dispuesto los datos en una tabla con formato distribuidos en columnas para proceder a su tratamiento por medio de filtros, gráficas y otras operaciones para extraer toda la información posible y sacar conclusiones en relación con los objetivos planteados. Dentro de las consultas hay algunos datos que pueden ser importantes y que podrían no tenerse en cuenta para las conclusiones de este estudio como son: el idioma o ciudad de cada institución.</w:t>
      </w:r>
      <w:bookmarkEnd w:id="0"/>
    </w:p>
    <w:p w14:paraId="3C6326FD" w14:textId="117E5107" w:rsidR="00B62032" w:rsidRDefault="00B62032" w:rsidP="00B62032">
      <w:pPr>
        <w:ind w:firstLine="284"/>
        <w:rPr>
          <w:sz w:val="20"/>
          <w:szCs w:val="20"/>
          <w:lang w:val="es-CO"/>
        </w:rPr>
      </w:pPr>
    </w:p>
    <w:p w14:paraId="598CD47D" w14:textId="5EC37330" w:rsidR="00B62032" w:rsidRDefault="00B62032" w:rsidP="00B62032">
      <w:pPr>
        <w:pStyle w:val="Ttulo1"/>
      </w:pPr>
      <w:r>
        <w:t xml:space="preserve">Los MOOC en Colombia </w:t>
      </w:r>
    </w:p>
    <w:p w14:paraId="17237685" w14:textId="5EEF551A" w:rsidR="00B62032" w:rsidRDefault="00B62032" w:rsidP="00B62032">
      <w:pPr>
        <w:rPr>
          <w:sz w:val="20"/>
          <w:szCs w:val="20"/>
          <w:lang w:val="es-CO"/>
        </w:rPr>
      </w:pPr>
    </w:p>
    <w:p w14:paraId="0B94816A" w14:textId="77777777" w:rsidR="00CF11C1" w:rsidRDefault="00B62032" w:rsidP="00CF11C1">
      <w:pPr>
        <w:pStyle w:val="Text"/>
        <w:ind w:firstLine="284"/>
        <w:rPr>
          <w:lang w:val="es-CO"/>
        </w:rPr>
      </w:pPr>
      <w:r w:rsidRPr="005117E4">
        <w:rPr>
          <w:lang w:val="es-CO"/>
        </w:rPr>
        <w:t>Al realizar el recorrido por los MOOC es mucho lo que podemos encontrar, sin embargo, pasaremos rápidamente así: desde sus inicios en el 2008 hasta el 2012, comúnmente conocido como el año del lanzamiento de los MOOC y luego el 2013 donde se tuvo el pico de expectativas sobredimensionadas, es decir el gran impacto que causaron los MOOC con grandes expectativas y mucha incertidumbre. Luego en 2014 surge un gran abismo de desilusión porque no se cumplen muchas de las expectativas pronosticadas por investigadores y la gran decepción giro en torno a los porcentajes de desertores de estos cursos lo cual confundía y sigue confundiendo a sus creadores. La euforia se frenó un tanto y muchos investigadores opinan que no es todo tan maravilloso y que quizás los MOOC deberían ser repensados, [6]. Lo anterior teniendo en cuanta, reportes de altas tasas de abandono, con un promedio del 95% de los participantes en un curso, así como otros problemas pedagógicos relacionados con la evaluación y retroalimentación [16].  Se puede decir entonces, de acuerdo con la curva de Gartner, Inc. and/</w:t>
      </w:r>
      <w:proofErr w:type="spellStart"/>
      <w:r w:rsidRPr="005117E4">
        <w:rPr>
          <w:lang w:val="es-CO"/>
        </w:rPr>
        <w:t>or</w:t>
      </w:r>
      <w:proofErr w:type="spellEnd"/>
      <w:r w:rsidRPr="005117E4">
        <w:rPr>
          <w:lang w:val="es-CO"/>
        </w:rPr>
        <w:t xml:space="preserve"> </w:t>
      </w:r>
      <w:proofErr w:type="spellStart"/>
      <w:r w:rsidRPr="005117E4">
        <w:rPr>
          <w:lang w:val="es-CO"/>
        </w:rPr>
        <w:t>its</w:t>
      </w:r>
      <w:proofErr w:type="spellEnd"/>
      <w:r w:rsidRPr="005117E4">
        <w:rPr>
          <w:lang w:val="es-CO"/>
        </w:rPr>
        <w:t xml:space="preserve"> </w:t>
      </w:r>
      <w:proofErr w:type="spellStart"/>
      <w:r w:rsidRPr="005117E4">
        <w:rPr>
          <w:lang w:val="es-CO"/>
        </w:rPr>
        <w:t>affiliates</w:t>
      </w:r>
      <w:proofErr w:type="spellEnd"/>
      <w:r w:rsidRPr="005117E4">
        <w:rPr>
          <w:lang w:val="es-CO"/>
        </w:rPr>
        <w:t xml:space="preserve"> ,  los MOOC se encuentran en este momento en “Rampa de consolidación” es decir, experimentando o investigando para entender los beneficios que puede proporcionar la aplicación </w:t>
      </w:r>
      <w:r w:rsidRPr="005117E4">
        <w:rPr>
          <w:lang w:val="es-CO"/>
        </w:rPr>
        <w:t xml:space="preserve">práctica de estos cursos en la educación o en otras áreas y aún falta madurez, más recorrido y muchas investigaciones que confirmen la llegada a la adopción dominante, cuando se demuestran y aceptan los beneficios reales de este fenómeno, no solo en la educación sino en otras áreas, según Linden y </w:t>
      </w:r>
      <w:proofErr w:type="spellStart"/>
      <w:r w:rsidRPr="005117E4">
        <w:rPr>
          <w:lang w:val="es-CO"/>
        </w:rPr>
        <w:t>Fenn</w:t>
      </w:r>
      <w:proofErr w:type="spellEnd"/>
      <w:r w:rsidRPr="005117E4">
        <w:rPr>
          <w:lang w:val="es-CO"/>
        </w:rPr>
        <w:t xml:space="preserve"> [17]. </w:t>
      </w:r>
    </w:p>
    <w:p w14:paraId="3DFC8F29" w14:textId="77777777" w:rsidR="00CF11C1" w:rsidRDefault="00B62032" w:rsidP="00CF11C1">
      <w:pPr>
        <w:pStyle w:val="Text"/>
        <w:ind w:firstLine="284"/>
        <w:rPr>
          <w:lang w:val="es-CO"/>
        </w:rPr>
      </w:pPr>
      <w:r w:rsidRPr="005117E4">
        <w:rPr>
          <w:lang w:val="es-CO"/>
        </w:rPr>
        <w:t>Según Cabero, [18] este comportamiento de acuerdo con la curve de Garner se confirma en la medida de las expectativas observadas, por ejemplo, periódicos como “</w:t>
      </w:r>
      <w:proofErr w:type="spellStart"/>
      <w:r w:rsidRPr="005117E4">
        <w:rPr>
          <w:lang w:val="es-CO"/>
        </w:rPr>
        <w:t>The</w:t>
      </w:r>
      <w:proofErr w:type="spellEnd"/>
      <w:r w:rsidRPr="005117E4">
        <w:rPr>
          <w:lang w:val="es-CO"/>
        </w:rPr>
        <w:t xml:space="preserve"> New York Times” le concedían a los MOOC una publicación en el 2012, “El año de los MOOC” y dos años después, el 29 de octubre del 2014, publicaron otro título, “Desmitificando a los MOOC”</w:t>
      </w:r>
      <w:r w:rsidR="00CF11C1">
        <w:rPr>
          <w:lang w:val="es-CO"/>
        </w:rPr>
        <w:t xml:space="preserve">. </w:t>
      </w:r>
      <w:r w:rsidRPr="005117E4">
        <w:rPr>
          <w:lang w:val="es-CO"/>
        </w:rPr>
        <w:t xml:space="preserve"> Es este el tiempo para analizar desde muchos puntos de vista el éxito o fracaso de esta modalidad formativa. Es así que los MOOC buscan situarse dentro de la educación superior como una alternativa de mayor flexibilidad y cobertura. Teniendo en Internet un enorme repositorio de recursos educativos abiertos.</w:t>
      </w:r>
    </w:p>
    <w:p w14:paraId="2E1E0F37" w14:textId="77777777" w:rsidR="00CF11C1" w:rsidRDefault="00B62032" w:rsidP="00CF11C1">
      <w:pPr>
        <w:pStyle w:val="Text"/>
        <w:ind w:firstLine="284"/>
        <w:rPr>
          <w:lang w:val="es-CO"/>
        </w:rPr>
      </w:pPr>
      <w:r w:rsidRPr="005117E4">
        <w:rPr>
          <w:lang w:val="es-CO"/>
        </w:rPr>
        <w:t>Por otra parte, las Universidades Colombianas no han sido indiferentes a estos recursos y se han lanzado a ofertar MOOC en variadas plataformas. Cada Institución con un objetivo diferentes, pero en común buscando satisfacer una demanda local para darse a conocer a nivel internacional. Con una apuesta formativa basada en actividades, y propuestas que tienen como base procesos de enseñanza aprendizaje mediados por la tecnología y cumpliendo requerimientos de dimensiones de la formación masiva.</w:t>
      </w:r>
    </w:p>
    <w:p w14:paraId="02017335" w14:textId="77777777" w:rsidR="00CF11C1" w:rsidRDefault="00B62032" w:rsidP="00CF11C1">
      <w:pPr>
        <w:pStyle w:val="Text"/>
        <w:ind w:firstLine="284"/>
        <w:rPr>
          <w:lang w:val="es-CO"/>
        </w:rPr>
      </w:pPr>
      <w:r w:rsidRPr="005117E4">
        <w:rPr>
          <w:lang w:val="es-CO"/>
        </w:rPr>
        <w:t>De acuerdo con la diversidad de cursos propuestos desde universidades colombianas, esta va muy relacionada con demandas locales, atributos culturales y demográficos. A partir de esta oferta analizaremos algunas preguntas planteadas en este estudio:</w:t>
      </w:r>
    </w:p>
    <w:p w14:paraId="245A5323" w14:textId="77777777" w:rsidR="00CF11C1" w:rsidRDefault="00B62032" w:rsidP="00CF11C1">
      <w:pPr>
        <w:pStyle w:val="Text"/>
        <w:ind w:firstLine="284"/>
        <w:rPr>
          <w:lang w:val="es-CO"/>
        </w:rPr>
      </w:pPr>
      <w:r w:rsidRPr="005117E4">
        <w:rPr>
          <w:lang w:val="es-CO"/>
        </w:rPr>
        <w:t>¿Porque las universidades deben lanzarse a ofrecer MOOC?</w:t>
      </w:r>
    </w:p>
    <w:p w14:paraId="71DAAEA8" w14:textId="77777777" w:rsidR="00CF11C1" w:rsidRDefault="00B62032" w:rsidP="00CF11C1">
      <w:pPr>
        <w:pStyle w:val="Text"/>
        <w:ind w:firstLine="284"/>
        <w:rPr>
          <w:lang w:val="es-CO"/>
        </w:rPr>
      </w:pPr>
      <w:r w:rsidRPr="005117E4">
        <w:rPr>
          <w:lang w:val="es-CO"/>
        </w:rPr>
        <w:t>¿Cuáles son las ventajas de Universidades que actualmente ofrecen MOOC?</w:t>
      </w:r>
    </w:p>
    <w:p w14:paraId="2170ABBA" w14:textId="098942F7" w:rsidR="00B62032" w:rsidRPr="005117E4" w:rsidRDefault="00B62032" w:rsidP="00CF11C1">
      <w:pPr>
        <w:pStyle w:val="Text"/>
        <w:ind w:firstLine="284"/>
        <w:rPr>
          <w:lang w:val="es-CO"/>
        </w:rPr>
      </w:pPr>
      <w:r w:rsidRPr="005117E4">
        <w:rPr>
          <w:lang w:val="es-CO"/>
        </w:rPr>
        <w:t>¿Que representa para las instituciones ofrecer sus cursos en esta modalidad?</w:t>
      </w:r>
    </w:p>
    <w:p w14:paraId="35F72826" w14:textId="03AB873E" w:rsidR="00B62032" w:rsidRDefault="00B62032" w:rsidP="00B62032">
      <w:pPr>
        <w:ind w:firstLine="284"/>
        <w:rPr>
          <w:sz w:val="20"/>
          <w:szCs w:val="20"/>
          <w:lang w:val="es-CO"/>
        </w:rPr>
      </w:pPr>
    </w:p>
    <w:p w14:paraId="23B54A03" w14:textId="7A27AB20" w:rsidR="00B62032" w:rsidRDefault="00B62032" w:rsidP="00B62032">
      <w:pPr>
        <w:pStyle w:val="Ttulo1"/>
      </w:pPr>
      <w:r>
        <w:t xml:space="preserve">Oferta de MOOC en Colombia </w:t>
      </w:r>
    </w:p>
    <w:p w14:paraId="7CE520C4" w14:textId="77777777" w:rsidR="00B62032" w:rsidRDefault="00B62032" w:rsidP="00B62032">
      <w:pPr>
        <w:rPr>
          <w:sz w:val="20"/>
          <w:szCs w:val="20"/>
          <w:lang w:val="es-CO"/>
        </w:rPr>
      </w:pPr>
    </w:p>
    <w:p w14:paraId="53576279" w14:textId="77777777" w:rsidR="00CF11C1" w:rsidRDefault="00B62032" w:rsidP="00CF11C1">
      <w:pPr>
        <w:pStyle w:val="Text"/>
        <w:ind w:firstLine="284"/>
        <w:rPr>
          <w:lang w:val="es-CO"/>
        </w:rPr>
      </w:pPr>
      <w:r w:rsidRPr="005117E4">
        <w:rPr>
          <w:lang w:val="es-CO"/>
        </w:rPr>
        <w:t xml:space="preserve">La oferta de cursos masivos y abiertos en Colombia está en aumento y es nuevo el panorama educativo que se vislumbra en los últimos años, proponiendo opciones y retos a la enseñanza y al aprendizaje con las características básicas de masividad, ubicuidad y gratuidad. En estos cursos se da una congregación de mediaciones tecnológicas y pedagógicas aún por indagar en todas sus dimensiones. </w:t>
      </w:r>
    </w:p>
    <w:p w14:paraId="20672ED6" w14:textId="77777777" w:rsidR="00CF11C1" w:rsidRDefault="00B62032" w:rsidP="00CF11C1">
      <w:pPr>
        <w:pStyle w:val="Text"/>
        <w:ind w:firstLine="284"/>
        <w:rPr>
          <w:lang w:val="es-CO"/>
        </w:rPr>
      </w:pPr>
      <w:r w:rsidRPr="005117E4">
        <w:rPr>
          <w:lang w:val="es-CO"/>
        </w:rPr>
        <w:t xml:space="preserve">Teniendo en cuenta las consultas sistemáticas en las plataformas más estables que actualmente ofrecen MOOC, se ha identificado el crecimiento de la oferta de cursos de universidades colombianas y el contenido que comparte con todos los interesados en los cursos. Este estudio se ha enfocado en explorar las tendencias de temas o contenidos ofertados desde universidades en Colombia y los componentes pedagógicos básicos que posee la oferta de MOOC. Para el desarrollo del trabajo se ha realizado el estudio de tipo exploratorio y secuencial que analiza las 4 plataformas en las </w:t>
      </w:r>
      <w:r w:rsidRPr="005117E4">
        <w:rPr>
          <w:lang w:val="es-CO"/>
        </w:rPr>
        <w:lastRenderedPageBreak/>
        <w:t xml:space="preserve">cuales se identifican universidades colombianas con un total de 54 cursos MOOC. Además, en este caso no se han tomados en cuenta, las ofertas de Universidades con plataformas propias que buscan cumplir con las características de los MOOC. </w:t>
      </w:r>
    </w:p>
    <w:p w14:paraId="0822158A" w14:textId="77777777" w:rsidR="00CF11C1" w:rsidRDefault="00B62032" w:rsidP="00CF11C1">
      <w:pPr>
        <w:pStyle w:val="Text"/>
        <w:ind w:firstLine="284"/>
        <w:rPr>
          <w:lang w:val="es-CO"/>
        </w:rPr>
      </w:pPr>
      <w:r w:rsidRPr="005117E4">
        <w:rPr>
          <w:lang w:val="es-CO"/>
        </w:rPr>
        <w:t xml:space="preserve">Con la información consultada en plataformas y sitios web de universidades se lleva a cabo un análisis de contenido en su vertiente cualitativa, mientras que con la cuantitativa se mostrará en un próximo documento un análisis estadístico comparando con otros países de Latinoamérica y el caribe “la oferta de MOOC en Latinoamérica”. Las plataformas consultadas son: Coursera, </w:t>
      </w:r>
      <w:proofErr w:type="spellStart"/>
      <w:r w:rsidRPr="005117E4">
        <w:rPr>
          <w:lang w:val="es-CO"/>
        </w:rPr>
        <w:t>MiríadaX</w:t>
      </w:r>
      <w:proofErr w:type="spellEnd"/>
      <w:r w:rsidRPr="005117E4">
        <w:rPr>
          <w:lang w:val="es-CO"/>
        </w:rPr>
        <w:t xml:space="preserve">, </w:t>
      </w:r>
      <w:proofErr w:type="spellStart"/>
      <w:r w:rsidRPr="005117E4">
        <w:rPr>
          <w:lang w:val="es-CO"/>
        </w:rPr>
        <w:t>edX</w:t>
      </w:r>
      <w:proofErr w:type="spellEnd"/>
      <w:r w:rsidRPr="005117E4">
        <w:rPr>
          <w:lang w:val="es-CO"/>
        </w:rPr>
        <w:t xml:space="preserve"> y </w:t>
      </w:r>
      <w:proofErr w:type="spellStart"/>
      <w:r w:rsidRPr="005117E4">
        <w:rPr>
          <w:lang w:val="es-CO"/>
        </w:rPr>
        <w:t>FutureLearn</w:t>
      </w:r>
      <w:proofErr w:type="spellEnd"/>
      <w:r w:rsidRPr="005117E4">
        <w:rPr>
          <w:lang w:val="es-CO"/>
        </w:rPr>
        <w:t xml:space="preserve">.  En estas plataformas se han identificado las siguientes universidades las cuales al menos han ofertado un curso en el periodo entre enero de 2013 y junio de 2017. Corporación Universitaria Minuto de Dios, Pontificia Universidad Javeriana, Universidad Autónoma de Occidente, Universidad de Ibagué, Universidad de los Andes, Universidad del Rosario, Universidad EAFIT, Universidad El Bosque, y Universidad Tecnológica de Pereira. </w:t>
      </w:r>
    </w:p>
    <w:p w14:paraId="0ED75E9F" w14:textId="484B344C" w:rsidR="00B62032" w:rsidRDefault="00B62032" w:rsidP="00CF11C1">
      <w:pPr>
        <w:pStyle w:val="Text"/>
        <w:ind w:firstLine="284"/>
        <w:rPr>
          <w:lang w:val="es-CO"/>
        </w:rPr>
      </w:pPr>
      <w:r w:rsidRPr="005117E4">
        <w:rPr>
          <w:lang w:val="es-CO"/>
        </w:rPr>
        <w:t xml:space="preserve">A continuación, se muestra una tabla en la cual se referencian los títulos de los cursos MOOC ofertados por estas instituciones en los últimos tres años: Ver </w:t>
      </w:r>
      <w:r>
        <w:rPr>
          <w:lang w:val="es-CO"/>
        </w:rPr>
        <w:t>Tabla 1</w:t>
      </w:r>
      <w:r w:rsidRPr="005117E4">
        <w:rPr>
          <w:lang w:val="es-CO"/>
        </w:rPr>
        <w:t>.</w:t>
      </w:r>
      <w:r>
        <w:rPr>
          <w:lang w:val="es-CO"/>
        </w:rPr>
        <w:t xml:space="preserve"> </w:t>
      </w:r>
      <w:r w:rsidRPr="005117E4">
        <w:rPr>
          <w:lang w:val="es-CO"/>
        </w:rPr>
        <w:t>Cursos MOOC en Colombia</w:t>
      </w:r>
    </w:p>
    <w:p w14:paraId="28B60820" w14:textId="77777777" w:rsidR="00681624" w:rsidRPr="009062C9" w:rsidRDefault="00681624" w:rsidP="00E82B0B">
      <w:pPr>
        <w:rPr>
          <w:szCs w:val="20"/>
          <w:lang w:val="es-ES_tradnl"/>
        </w:rPr>
      </w:pPr>
    </w:p>
    <w:p w14:paraId="6A627423" w14:textId="77777777" w:rsidR="00681624" w:rsidRPr="009062C9" w:rsidRDefault="00681624" w:rsidP="007C5FBB">
      <w:pPr>
        <w:pStyle w:val="ADYNATabla"/>
        <w:rPr>
          <w:lang w:val="es-ES_tradnl"/>
        </w:rPr>
      </w:pPr>
      <w:r w:rsidRPr="009062C9">
        <w:rPr>
          <w:lang w:val="es-ES_tradnl"/>
        </w:rPr>
        <w:t>Tabl</w:t>
      </w:r>
      <w:r w:rsidR="00E97C50">
        <w:rPr>
          <w:lang w:val="es-ES_tradnl"/>
        </w:rPr>
        <w:t>a 1</w:t>
      </w:r>
    </w:p>
    <w:p w14:paraId="5E0E4B9D" w14:textId="1E02B784" w:rsidR="00681624" w:rsidRDefault="00B62032" w:rsidP="007C5FBB">
      <w:pPr>
        <w:pStyle w:val="ADYNATabla"/>
        <w:rPr>
          <w:lang w:val="es-ES_tradnl"/>
        </w:rPr>
      </w:pPr>
      <w:r>
        <w:rPr>
          <w:lang w:val="es-ES_tradnl"/>
        </w:rPr>
        <w:t>Cursos MOOC en Colombia</w:t>
      </w:r>
      <w:r w:rsidR="00681624" w:rsidRPr="009062C9">
        <w:rPr>
          <w:lang w:val="es-ES_tradnl"/>
        </w:rPr>
        <w:t xml:space="preserve"> </w:t>
      </w:r>
    </w:p>
    <w:tbl>
      <w:tblPr>
        <w:tblW w:w="0" w:type="auto"/>
        <w:tblBorders>
          <w:top w:val="single" w:sz="4" w:space="0" w:color="auto"/>
          <w:bottom w:val="single" w:sz="4" w:space="0" w:color="auto"/>
        </w:tblBorders>
        <w:tblLayout w:type="fixed"/>
        <w:tblCellMar>
          <w:top w:w="15" w:type="dxa"/>
          <w:left w:w="70" w:type="dxa"/>
          <w:bottom w:w="15" w:type="dxa"/>
          <w:right w:w="70" w:type="dxa"/>
        </w:tblCellMar>
        <w:tblLook w:val="04A0" w:firstRow="1" w:lastRow="0" w:firstColumn="1" w:lastColumn="0" w:noHBand="0" w:noVBand="1"/>
      </w:tblPr>
      <w:tblGrid>
        <w:gridCol w:w="1630"/>
        <w:gridCol w:w="850"/>
        <w:gridCol w:w="2410"/>
      </w:tblGrid>
      <w:tr w:rsidR="00B62032" w:rsidRPr="000A2F0D" w14:paraId="544D61BA" w14:textId="77777777" w:rsidTr="003C144E">
        <w:trPr>
          <w:trHeight w:val="300"/>
        </w:trPr>
        <w:tc>
          <w:tcPr>
            <w:tcW w:w="1630" w:type="dxa"/>
            <w:tcBorders>
              <w:top w:val="single" w:sz="4" w:space="0" w:color="auto"/>
              <w:bottom w:val="single" w:sz="4" w:space="0" w:color="auto"/>
            </w:tcBorders>
            <w:noWrap/>
            <w:vAlign w:val="center"/>
            <w:hideMark/>
          </w:tcPr>
          <w:p w14:paraId="26E31B28" w14:textId="77777777" w:rsidR="00B62032" w:rsidRPr="000A2F0D" w:rsidRDefault="00B62032" w:rsidP="003C144E">
            <w:pPr>
              <w:rPr>
                <w:rFonts w:ascii="Calibri" w:hAnsi="Calibri" w:cs="Calibri"/>
                <w:b/>
                <w:color w:val="000000"/>
                <w:sz w:val="12"/>
                <w:szCs w:val="12"/>
                <w:lang w:val="es-CO" w:eastAsia="es-CO"/>
              </w:rPr>
            </w:pPr>
            <w:bookmarkStart w:id="1" w:name="Hoja1!A1:D50"/>
            <w:bookmarkStart w:id="2" w:name="_Hlk485280723"/>
            <w:r w:rsidRPr="000A2F0D">
              <w:rPr>
                <w:rFonts w:ascii="Calibri" w:hAnsi="Calibri" w:cs="Calibri"/>
                <w:b/>
                <w:color w:val="000000"/>
                <w:sz w:val="12"/>
                <w:szCs w:val="12"/>
                <w:lang w:val="es-CO" w:eastAsia="es-CO"/>
              </w:rPr>
              <w:t xml:space="preserve">Universidad </w:t>
            </w:r>
            <w:bookmarkEnd w:id="1"/>
          </w:p>
        </w:tc>
        <w:tc>
          <w:tcPr>
            <w:tcW w:w="850" w:type="dxa"/>
            <w:tcBorders>
              <w:top w:val="single" w:sz="4" w:space="0" w:color="auto"/>
              <w:bottom w:val="single" w:sz="4" w:space="0" w:color="auto"/>
            </w:tcBorders>
            <w:noWrap/>
            <w:vAlign w:val="center"/>
            <w:hideMark/>
          </w:tcPr>
          <w:p w14:paraId="7195838D" w14:textId="77777777" w:rsidR="00B62032" w:rsidRPr="000A2F0D" w:rsidRDefault="00B62032" w:rsidP="003C144E">
            <w:pPr>
              <w:rPr>
                <w:rFonts w:ascii="Calibri" w:hAnsi="Calibri" w:cs="Calibri"/>
                <w:b/>
                <w:color w:val="000000"/>
                <w:sz w:val="12"/>
                <w:szCs w:val="12"/>
                <w:lang w:val="es-CO" w:eastAsia="es-CO"/>
              </w:rPr>
            </w:pPr>
            <w:r w:rsidRPr="000A2F0D">
              <w:rPr>
                <w:rFonts w:ascii="Calibri" w:hAnsi="Calibri" w:cs="Calibri"/>
                <w:b/>
                <w:color w:val="000000"/>
                <w:sz w:val="12"/>
                <w:szCs w:val="12"/>
                <w:lang w:val="es-CO" w:eastAsia="es-CO"/>
              </w:rPr>
              <w:t xml:space="preserve">Plataforma </w:t>
            </w:r>
          </w:p>
        </w:tc>
        <w:tc>
          <w:tcPr>
            <w:tcW w:w="2410" w:type="dxa"/>
            <w:tcBorders>
              <w:top w:val="single" w:sz="4" w:space="0" w:color="auto"/>
              <w:bottom w:val="single" w:sz="4" w:space="0" w:color="auto"/>
            </w:tcBorders>
            <w:noWrap/>
            <w:vAlign w:val="center"/>
            <w:hideMark/>
          </w:tcPr>
          <w:p w14:paraId="0FE4B701" w14:textId="77777777" w:rsidR="00B62032" w:rsidRPr="000A2F0D" w:rsidRDefault="00B62032" w:rsidP="003C144E">
            <w:pPr>
              <w:rPr>
                <w:rFonts w:ascii="Calibri" w:hAnsi="Calibri" w:cs="Calibri"/>
                <w:b/>
                <w:color w:val="000000"/>
                <w:sz w:val="12"/>
                <w:szCs w:val="12"/>
                <w:lang w:val="es-CO" w:eastAsia="es-CO"/>
              </w:rPr>
            </w:pPr>
            <w:r w:rsidRPr="000A2F0D">
              <w:rPr>
                <w:rFonts w:ascii="Calibri" w:hAnsi="Calibri" w:cs="Calibri"/>
                <w:b/>
                <w:color w:val="000000"/>
                <w:sz w:val="12"/>
                <w:szCs w:val="12"/>
                <w:lang w:val="es-CO" w:eastAsia="es-CO"/>
              </w:rPr>
              <w:t>Nombre del curso</w:t>
            </w:r>
          </w:p>
        </w:tc>
      </w:tr>
      <w:tr w:rsidR="00B62032" w:rsidRPr="000A2F0D" w14:paraId="3309C6B2" w14:textId="77777777" w:rsidTr="003C144E">
        <w:trPr>
          <w:trHeight w:val="300"/>
        </w:trPr>
        <w:tc>
          <w:tcPr>
            <w:tcW w:w="1630" w:type="dxa"/>
            <w:tcBorders>
              <w:top w:val="single" w:sz="4" w:space="0" w:color="auto"/>
            </w:tcBorders>
            <w:noWrap/>
            <w:vAlign w:val="center"/>
            <w:hideMark/>
          </w:tcPr>
          <w:p w14:paraId="37AAF789"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Corporación Universitaria Minuto de Dios</w:t>
            </w:r>
          </w:p>
        </w:tc>
        <w:tc>
          <w:tcPr>
            <w:tcW w:w="850" w:type="dxa"/>
            <w:tcBorders>
              <w:top w:val="single" w:sz="4" w:space="0" w:color="auto"/>
            </w:tcBorders>
            <w:noWrap/>
            <w:vAlign w:val="center"/>
            <w:hideMark/>
          </w:tcPr>
          <w:p w14:paraId="34E709E1"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Miríada X</w:t>
            </w:r>
          </w:p>
        </w:tc>
        <w:tc>
          <w:tcPr>
            <w:tcW w:w="2410" w:type="dxa"/>
            <w:tcBorders>
              <w:top w:val="single" w:sz="4" w:space="0" w:color="auto"/>
            </w:tcBorders>
            <w:noWrap/>
            <w:vAlign w:val="center"/>
            <w:hideMark/>
          </w:tcPr>
          <w:p w14:paraId="1E72BEAD"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Paz y No-violencia </w:t>
            </w:r>
          </w:p>
        </w:tc>
      </w:tr>
      <w:tr w:rsidR="00B62032" w:rsidRPr="000A2F0D" w14:paraId="186BECDE" w14:textId="77777777" w:rsidTr="003C144E">
        <w:trPr>
          <w:trHeight w:val="300"/>
        </w:trPr>
        <w:tc>
          <w:tcPr>
            <w:tcW w:w="1630" w:type="dxa"/>
            <w:noWrap/>
            <w:vAlign w:val="center"/>
            <w:hideMark/>
          </w:tcPr>
          <w:p w14:paraId="191857F5"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Corporación Universitaria Minuto de Dios</w:t>
            </w:r>
          </w:p>
        </w:tc>
        <w:tc>
          <w:tcPr>
            <w:tcW w:w="850" w:type="dxa"/>
            <w:noWrap/>
            <w:vAlign w:val="center"/>
            <w:hideMark/>
          </w:tcPr>
          <w:p w14:paraId="55F31BCF"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Miríada X</w:t>
            </w:r>
          </w:p>
        </w:tc>
        <w:tc>
          <w:tcPr>
            <w:tcW w:w="2410" w:type="dxa"/>
            <w:noWrap/>
            <w:vAlign w:val="center"/>
            <w:hideMark/>
          </w:tcPr>
          <w:p w14:paraId="6A7EAAD0"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Resistencias Ciudadanas como acto creativo </w:t>
            </w:r>
          </w:p>
        </w:tc>
      </w:tr>
      <w:tr w:rsidR="00B62032" w:rsidRPr="000A2F0D" w14:paraId="28140F28" w14:textId="77777777" w:rsidTr="003C144E">
        <w:trPr>
          <w:trHeight w:val="300"/>
        </w:trPr>
        <w:tc>
          <w:tcPr>
            <w:tcW w:w="1630" w:type="dxa"/>
            <w:noWrap/>
            <w:vAlign w:val="center"/>
            <w:hideMark/>
          </w:tcPr>
          <w:p w14:paraId="7F6ACB6C"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3F0AF914"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23023E1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Adherencia al tratamiento de pacientes con enfermedad crónica </w:t>
            </w:r>
          </w:p>
        </w:tc>
      </w:tr>
      <w:tr w:rsidR="00B62032" w:rsidRPr="000A2F0D" w14:paraId="63B82A05" w14:textId="77777777" w:rsidTr="003C144E">
        <w:trPr>
          <w:trHeight w:val="300"/>
        </w:trPr>
        <w:tc>
          <w:tcPr>
            <w:tcW w:w="1630" w:type="dxa"/>
            <w:noWrap/>
            <w:vAlign w:val="center"/>
            <w:hideMark/>
          </w:tcPr>
          <w:p w14:paraId="24964A79"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34B3CEBD"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710EE6C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Antropología de la Música: El Caso de las Músicas del Pacífico Colombiano </w:t>
            </w:r>
          </w:p>
        </w:tc>
      </w:tr>
      <w:tr w:rsidR="00B62032" w:rsidRPr="000A2F0D" w14:paraId="1D4A9220" w14:textId="77777777" w:rsidTr="003C144E">
        <w:trPr>
          <w:trHeight w:val="300"/>
        </w:trPr>
        <w:tc>
          <w:tcPr>
            <w:tcW w:w="1630" w:type="dxa"/>
            <w:noWrap/>
            <w:vAlign w:val="center"/>
            <w:hideMark/>
          </w:tcPr>
          <w:p w14:paraId="2B30F7D4"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10A05D14"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731F92A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Apnea y Trastornos del Sueño </w:t>
            </w:r>
          </w:p>
        </w:tc>
      </w:tr>
      <w:tr w:rsidR="00B62032" w:rsidRPr="000A2F0D" w14:paraId="73C10545" w14:textId="77777777" w:rsidTr="003C144E">
        <w:trPr>
          <w:trHeight w:val="300"/>
        </w:trPr>
        <w:tc>
          <w:tcPr>
            <w:tcW w:w="1630" w:type="dxa"/>
            <w:noWrap/>
            <w:vAlign w:val="center"/>
            <w:hideMark/>
          </w:tcPr>
          <w:p w14:paraId="50D48D99"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0548F45D"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5AD335BA"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Aproximación Neuropsicológica de la Lecto-Escritura en la etapa escolar </w:t>
            </w:r>
          </w:p>
        </w:tc>
      </w:tr>
      <w:tr w:rsidR="00B62032" w:rsidRPr="000A2F0D" w14:paraId="4EA163D1" w14:textId="77777777" w:rsidTr="003C144E">
        <w:trPr>
          <w:trHeight w:val="300"/>
        </w:trPr>
        <w:tc>
          <w:tcPr>
            <w:tcW w:w="1630" w:type="dxa"/>
            <w:noWrap/>
            <w:vAlign w:val="center"/>
            <w:hideMark/>
          </w:tcPr>
          <w:p w14:paraId="4EF42D10"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0871A88A"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0B5B74ED"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Diálogo Intercultural para la Gestión de Conflictos Territoriales </w:t>
            </w:r>
          </w:p>
        </w:tc>
      </w:tr>
      <w:tr w:rsidR="00B62032" w:rsidRPr="000A2F0D" w14:paraId="1AE4C14D" w14:textId="77777777" w:rsidTr="003C144E">
        <w:trPr>
          <w:trHeight w:val="300"/>
        </w:trPr>
        <w:tc>
          <w:tcPr>
            <w:tcW w:w="1630" w:type="dxa"/>
            <w:noWrap/>
            <w:vAlign w:val="center"/>
            <w:hideMark/>
          </w:tcPr>
          <w:p w14:paraId="207F19DA"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470F7A44"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37D253C7"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Escribir para Convencer</w:t>
            </w:r>
          </w:p>
        </w:tc>
      </w:tr>
      <w:tr w:rsidR="00B62032" w:rsidRPr="000A2F0D" w14:paraId="21CF21A3" w14:textId="77777777" w:rsidTr="003C144E">
        <w:trPr>
          <w:trHeight w:val="300"/>
        </w:trPr>
        <w:tc>
          <w:tcPr>
            <w:tcW w:w="1630" w:type="dxa"/>
            <w:noWrap/>
            <w:vAlign w:val="center"/>
            <w:hideMark/>
          </w:tcPr>
          <w:p w14:paraId="54D86FCD"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0E45FA98"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2DAB5B0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Finanzas Personales </w:t>
            </w:r>
          </w:p>
        </w:tc>
      </w:tr>
      <w:tr w:rsidR="00B62032" w:rsidRPr="000A2F0D" w14:paraId="488C98EC" w14:textId="77777777" w:rsidTr="003C144E">
        <w:trPr>
          <w:trHeight w:val="300"/>
        </w:trPr>
        <w:tc>
          <w:tcPr>
            <w:tcW w:w="1630" w:type="dxa"/>
            <w:noWrap/>
            <w:vAlign w:val="center"/>
            <w:hideMark/>
          </w:tcPr>
          <w:p w14:paraId="224A2FC0"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1316A1CF"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664A397F"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Hábitos de consumo sostenible: Motor de innovación </w:t>
            </w:r>
          </w:p>
        </w:tc>
      </w:tr>
      <w:tr w:rsidR="00B62032" w:rsidRPr="000A2F0D" w14:paraId="64700664" w14:textId="77777777" w:rsidTr="003C144E">
        <w:trPr>
          <w:trHeight w:val="300"/>
        </w:trPr>
        <w:tc>
          <w:tcPr>
            <w:tcW w:w="1630" w:type="dxa"/>
            <w:noWrap/>
            <w:vAlign w:val="center"/>
            <w:hideMark/>
          </w:tcPr>
          <w:p w14:paraId="54D38321"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515A6A52"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14ADA3C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Impacto de la Investigación de Mercados</w:t>
            </w:r>
          </w:p>
        </w:tc>
      </w:tr>
      <w:tr w:rsidR="00B62032" w:rsidRPr="000A2F0D" w14:paraId="6A31FE64" w14:textId="77777777" w:rsidTr="003C144E">
        <w:trPr>
          <w:trHeight w:val="300"/>
        </w:trPr>
        <w:tc>
          <w:tcPr>
            <w:tcW w:w="1630" w:type="dxa"/>
            <w:noWrap/>
            <w:vAlign w:val="center"/>
            <w:hideMark/>
          </w:tcPr>
          <w:p w14:paraId="38B21E05"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24366AAD"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56A745EA"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Impacto de las TIC en la vida de las familias </w:t>
            </w:r>
          </w:p>
        </w:tc>
      </w:tr>
      <w:tr w:rsidR="00B62032" w:rsidRPr="000A2F0D" w14:paraId="1073D468" w14:textId="77777777" w:rsidTr="003C144E">
        <w:trPr>
          <w:trHeight w:val="300"/>
        </w:trPr>
        <w:tc>
          <w:tcPr>
            <w:tcW w:w="1630" w:type="dxa"/>
            <w:noWrap/>
            <w:vAlign w:val="center"/>
            <w:hideMark/>
          </w:tcPr>
          <w:p w14:paraId="1AF9411C"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67438F89"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25E655BC"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Industrias sostenibles y competitivas </w:t>
            </w:r>
          </w:p>
        </w:tc>
      </w:tr>
      <w:tr w:rsidR="00B62032" w:rsidRPr="000A2F0D" w14:paraId="75C0C505" w14:textId="77777777" w:rsidTr="003C144E">
        <w:trPr>
          <w:trHeight w:val="300"/>
        </w:trPr>
        <w:tc>
          <w:tcPr>
            <w:tcW w:w="1630" w:type="dxa"/>
            <w:noWrap/>
            <w:vAlign w:val="center"/>
            <w:hideMark/>
          </w:tcPr>
          <w:p w14:paraId="46A85BB8"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43D375B0"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2256C498"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Lo que todos deberían saber del Genoma Humano </w:t>
            </w:r>
          </w:p>
        </w:tc>
      </w:tr>
      <w:tr w:rsidR="00B62032" w:rsidRPr="000A2F0D" w14:paraId="5F6A1FD9" w14:textId="77777777" w:rsidTr="003C144E">
        <w:trPr>
          <w:trHeight w:val="300"/>
        </w:trPr>
        <w:tc>
          <w:tcPr>
            <w:tcW w:w="1630" w:type="dxa"/>
            <w:noWrap/>
            <w:vAlign w:val="center"/>
            <w:hideMark/>
          </w:tcPr>
          <w:p w14:paraId="7F534DC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39DC640D"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56F7119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Pensamiento del Papa Francisco </w:t>
            </w:r>
          </w:p>
        </w:tc>
      </w:tr>
      <w:tr w:rsidR="00B62032" w:rsidRPr="000A2F0D" w14:paraId="7E0A9507" w14:textId="77777777" w:rsidTr="003C144E">
        <w:trPr>
          <w:trHeight w:val="300"/>
        </w:trPr>
        <w:tc>
          <w:tcPr>
            <w:tcW w:w="1630" w:type="dxa"/>
            <w:noWrap/>
            <w:vAlign w:val="center"/>
            <w:hideMark/>
          </w:tcPr>
          <w:p w14:paraId="0554B3CF"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1D82B5DD"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3A87927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Principios ecológicos para la comprensión de la sostenibilidad ambiental </w:t>
            </w:r>
          </w:p>
        </w:tc>
      </w:tr>
      <w:tr w:rsidR="00B62032" w:rsidRPr="000A2F0D" w14:paraId="2CE045BE" w14:textId="77777777" w:rsidTr="003C144E">
        <w:trPr>
          <w:trHeight w:val="300"/>
        </w:trPr>
        <w:tc>
          <w:tcPr>
            <w:tcW w:w="1630" w:type="dxa"/>
            <w:noWrap/>
            <w:vAlign w:val="center"/>
            <w:hideMark/>
          </w:tcPr>
          <w:p w14:paraId="7704176A"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730330AB"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5C6F175E"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Pronósticos de ventas: una herramienta comercial </w:t>
            </w:r>
          </w:p>
        </w:tc>
      </w:tr>
      <w:tr w:rsidR="00B62032" w:rsidRPr="000A2F0D" w14:paraId="47C26E6B" w14:textId="77777777" w:rsidTr="003C144E">
        <w:trPr>
          <w:trHeight w:val="300"/>
        </w:trPr>
        <w:tc>
          <w:tcPr>
            <w:tcW w:w="1630" w:type="dxa"/>
            <w:noWrap/>
            <w:vAlign w:val="center"/>
            <w:hideMark/>
          </w:tcPr>
          <w:p w14:paraId="32E066A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Pontificia Universidad Javeriana</w:t>
            </w:r>
          </w:p>
        </w:tc>
        <w:tc>
          <w:tcPr>
            <w:tcW w:w="850" w:type="dxa"/>
            <w:noWrap/>
            <w:vAlign w:val="center"/>
            <w:hideMark/>
          </w:tcPr>
          <w:p w14:paraId="65CE422C"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edX</w:t>
            </w:r>
            <w:proofErr w:type="spellEnd"/>
          </w:p>
        </w:tc>
        <w:tc>
          <w:tcPr>
            <w:tcW w:w="2410" w:type="dxa"/>
            <w:noWrap/>
            <w:vAlign w:val="center"/>
            <w:hideMark/>
          </w:tcPr>
          <w:p w14:paraId="34CD6C59"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Seguridad y Salud en el Trabajo: Un derecho fundamental </w:t>
            </w:r>
          </w:p>
        </w:tc>
      </w:tr>
      <w:tr w:rsidR="00B62032" w:rsidRPr="000A2F0D" w14:paraId="71ED8FB0" w14:textId="77777777" w:rsidTr="003C144E">
        <w:trPr>
          <w:trHeight w:val="300"/>
        </w:trPr>
        <w:tc>
          <w:tcPr>
            <w:tcW w:w="1630" w:type="dxa"/>
            <w:noWrap/>
            <w:vAlign w:val="center"/>
            <w:hideMark/>
          </w:tcPr>
          <w:p w14:paraId="0912E1C8"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Autónoma de Occidente</w:t>
            </w:r>
          </w:p>
        </w:tc>
        <w:tc>
          <w:tcPr>
            <w:tcW w:w="850" w:type="dxa"/>
            <w:noWrap/>
            <w:vAlign w:val="center"/>
            <w:hideMark/>
          </w:tcPr>
          <w:p w14:paraId="346C6024"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Miríada X</w:t>
            </w:r>
          </w:p>
        </w:tc>
        <w:tc>
          <w:tcPr>
            <w:tcW w:w="2410" w:type="dxa"/>
            <w:noWrap/>
            <w:vAlign w:val="center"/>
            <w:hideMark/>
          </w:tcPr>
          <w:p w14:paraId="3CB11E8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Ecosistema y Cultura  </w:t>
            </w:r>
          </w:p>
        </w:tc>
      </w:tr>
      <w:tr w:rsidR="00B62032" w:rsidRPr="000A2F0D" w14:paraId="64C4DA07" w14:textId="77777777" w:rsidTr="003C144E">
        <w:trPr>
          <w:trHeight w:val="300"/>
        </w:trPr>
        <w:tc>
          <w:tcPr>
            <w:tcW w:w="1630" w:type="dxa"/>
            <w:noWrap/>
            <w:vAlign w:val="center"/>
            <w:hideMark/>
          </w:tcPr>
          <w:p w14:paraId="41AE40EF"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Ibagué</w:t>
            </w:r>
          </w:p>
        </w:tc>
        <w:tc>
          <w:tcPr>
            <w:tcW w:w="850" w:type="dxa"/>
            <w:noWrap/>
            <w:vAlign w:val="center"/>
            <w:hideMark/>
          </w:tcPr>
          <w:p w14:paraId="54FDDD2D"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Miríada X</w:t>
            </w:r>
          </w:p>
        </w:tc>
        <w:tc>
          <w:tcPr>
            <w:tcW w:w="2410" w:type="dxa"/>
            <w:noWrap/>
            <w:vAlign w:val="center"/>
            <w:hideMark/>
          </w:tcPr>
          <w:p w14:paraId="2A1AE4B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Matemáticas esenciales en los números reales y complejos </w:t>
            </w:r>
          </w:p>
        </w:tc>
      </w:tr>
      <w:tr w:rsidR="00B62032" w:rsidRPr="000A2F0D" w14:paraId="1F06D6EB" w14:textId="77777777" w:rsidTr="003C144E">
        <w:trPr>
          <w:trHeight w:val="300"/>
        </w:trPr>
        <w:tc>
          <w:tcPr>
            <w:tcW w:w="1630" w:type="dxa"/>
            <w:noWrap/>
            <w:vAlign w:val="center"/>
            <w:hideMark/>
          </w:tcPr>
          <w:p w14:paraId="6EED3C6C"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1E33DB1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4668014E"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¿Cómo convertir mi idea en empresa? </w:t>
            </w:r>
          </w:p>
        </w:tc>
      </w:tr>
      <w:tr w:rsidR="00B62032" w:rsidRPr="000A2F0D" w14:paraId="51C3965D" w14:textId="77777777" w:rsidTr="003C144E">
        <w:trPr>
          <w:trHeight w:val="300"/>
        </w:trPr>
        <w:tc>
          <w:tcPr>
            <w:tcW w:w="1630" w:type="dxa"/>
            <w:noWrap/>
            <w:vAlign w:val="center"/>
            <w:hideMark/>
          </w:tcPr>
          <w:p w14:paraId="646FB715"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2CCF85EF"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3051EB7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¿Cómo financiar mi empresa? </w:t>
            </w:r>
          </w:p>
        </w:tc>
      </w:tr>
      <w:tr w:rsidR="00B62032" w:rsidRPr="000A2F0D" w14:paraId="6F5655AB" w14:textId="77777777" w:rsidTr="003C144E">
        <w:trPr>
          <w:trHeight w:val="300"/>
        </w:trPr>
        <w:tc>
          <w:tcPr>
            <w:tcW w:w="1630" w:type="dxa"/>
            <w:noWrap/>
            <w:vAlign w:val="center"/>
            <w:hideMark/>
          </w:tcPr>
          <w:p w14:paraId="576C4EF7"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711E4A1F"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320E72C9"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Autoliderazgo</w:t>
            </w:r>
            <w:proofErr w:type="spellEnd"/>
            <w:r w:rsidRPr="000A2F0D">
              <w:rPr>
                <w:rFonts w:ascii="Calibri" w:hAnsi="Calibri" w:cs="Calibri"/>
                <w:color w:val="000000"/>
                <w:sz w:val="12"/>
                <w:szCs w:val="12"/>
                <w:lang w:val="es-CO" w:eastAsia="es-CO"/>
              </w:rPr>
              <w:t xml:space="preserve"> y gestión de emociones para avanzar en desafíos complejos  </w:t>
            </w:r>
          </w:p>
        </w:tc>
      </w:tr>
      <w:tr w:rsidR="00B62032" w:rsidRPr="000A2F0D" w14:paraId="7F1A4B24" w14:textId="77777777" w:rsidTr="003C144E">
        <w:trPr>
          <w:trHeight w:val="300"/>
        </w:trPr>
        <w:tc>
          <w:tcPr>
            <w:tcW w:w="1630" w:type="dxa"/>
            <w:noWrap/>
            <w:vAlign w:val="center"/>
            <w:hideMark/>
          </w:tcPr>
          <w:p w14:paraId="5E217A5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455FCB00"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06FBA5F5"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Bienestar, equidad y derechos humanos </w:t>
            </w:r>
          </w:p>
        </w:tc>
      </w:tr>
      <w:tr w:rsidR="00B62032" w:rsidRPr="000A2F0D" w14:paraId="0F9014AE" w14:textId="77777777" w:rsidTr="003C144E">
        <w:trPr>
          <w:trHeight w:val="300"/>
        </w:trPr>
        <w:tc>
          <w:tcPr>
            <w:tcW w:w="1630" w:type="dxa"/>
            <w:noWrap/>
            <w:vAlign w:val="center"/>
            <w:hideMark/>
          </w:tcPr>
          <w:p w14:paraId="2EC1AB8D"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56DF0348"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448DD0CD"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Comunicación, experimentación y aprendizaje en liderazgo </w:t>
            </w:r>
          </w:p>
        </w:tc>
      </w:tr>
      <w:tr w:rsidR="00B62032" w:rsidRPr="000A2F0D" w14:paraId="0E7564DB" w14:textId="77777777" w:rsidTr="003C144E">
        <w:trPr>
          <w:trHeight w:val="300"/>
        </w:trPr>
        <w:tc>
          <w:tcPr>
            <w:tcW w:w="1630" w:type="dxa"/>
            <w:noWrap/>
            <w:vAlign w:val="center"/>
            <w:hideMark/>
          </w:tcPr>
          <w:p w14:paraId="2576004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3AF5459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6E7B624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Desarrollo de Videojuegos 3D en Unity: Una Introducción</w:t>
            </w:r>
          </w:p>
        </w:tc>
      </w:tr>
      <w:tr w:rsidR="00B62032" w:rsidRPr="000A2F0D" w14:paraId="23B4C9BD" w14:textId="77777777" w:rsidTr="003C144E">
        <w:trPr>
          <w:trHeight w:val="300"/>
        </w:trPr>
        <w:tc>
          <w:tcPr>
            <w:tcW w:w="1630" w:type="dxa"/>
            <w:noWrap/>
            <w:vAlign w:val="center"/>
            <w:hideMark/>
          </w:tcPr>
          <w:p w14:paraId="48AAE82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5F99A5D1"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247B27D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Desarrollo de Videojuegos en Unity: Una Introducción</w:t>
            </w:r>
          </w:p>
        </w:tc>
      </w:tr>
      <w:tr w:rsidR="00B62032" w:rsidRPr="000A2F0D" w14:paraId="38CC349D" w14:textId="77777777" w:rsidTr="003C144E">
        <w:trPr>
          <w:trHeight w:val="300"/>
        </w:trPr>
        <w:tc>
          <w:tcPr>
            <w:tcW w:w="1630" w:type="dxa"/>
            <w:noWrap/>
            <w:vAlign w:val="center"/>
            <w:hideMark/>
          </w:tcPr>
          <w:p w14:paraId="69AC0E95"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08B84971"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20E62954"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Desarrollo y Diseño de Videojuegos: Proyecto final</w:t>
            </w:r>
          </w:p>
        </w:tc>
      </w:tr>
      <w:tr w:rsidR="00B62032" w:rsidRPr="000A2F0D" w14:paraId="45CDF6BE" w14:textId="77777777" w:rsidTr="003C144E">
        <w:trPr>
          <w:trHeight w:val="300"/>
        </w:trPr>
        <w:tc>
          <w:tcPr>
            <w:tcW w:w="1630" w:type="dxa"/>
            <w:noWrap/>
            <w:vAlign w:val="center"/>
            <w:hideMark/>
          </w:tcPr>
          <w:p w14:paraId="0D0B2E40"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00F9FE1C"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119615C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Diseño de proyectos para promover el bienestar </w:t>
            </w:r>
          </w:p>
        </w:tc>
      </w:tr>
      <w:tr w:rsidR="00B62032" w:rsidRPr="000A2F0D" w14:paraId="1B054114" w14:textId="77777777" w:rsidTr="003C144E">
        <w:trPr>
          <w:trHeight w:val="300"/>
        </w:trPr>
        <w:tc>
          <w:tcPr>
            <w:tcW w:w="1630" w:type="dxa"/>
            <w:noWrap/>
            <w:vAlign w:val="center"/>
            <w:hideMark/>
          </w:tcPr>
          <w:p w14:paraId="097FA3A4"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00B586D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4F0201A0"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Mi nueva empresa: los </w:t>
            </w:r>
            <w:proofErr w:type="spellStart"/>
            <w:r w:rsidRPr="000A2F0D">
              <w:rPr>
                <w:rFonts w:ascii="Calibri" w:hAnsi="Calibri" w:cs="Calibri"/>
                <w:color w:val="000000"/>
                <w:sz w:val="12"/>
                <w:szCs w:val="12"/>
                <w:lang w:val="es-CO" w:eastAsia="es-CO"/>
              </w:rPr>
              <w:t>siguentes</w:t>
            </w:r>
            <w:proofErr w:type="spellEnd"/>
            <w:r w:rsidRPr="000A2F0D">
              <w:rPr>
                <w:rFonts w:ascii="Calibri" w:hAnsi="Calibri" w:cs="Calibri"/>
                <w:color w:val="000000"/>
                <w:sz w:val="12"/>
                <w:szCs w:val="12"/>
                <w:lang w:val="es-CO" w:eastAsia="es-CO"/>
              </w:rPr>
              <w:t xml:space="preserve"> pasos</w:t>
            </w:r>
          </w:p>
        </w:tc>
      </w:tr>
      <w:tr w:rsidR="00B62032" w:rsidRPr="000A2F0D" w14:paraId="125578B6" w14:textId="77777777" w:rsidTr="003C144E">
        <w:trPr>
          <w:trHeight w:val="300"/>
        </w:trPr>
        <w:tc>
          <w:tcPr>
            <w:tcW w:w="1630" w:type="dxa"/>
            <w:noWrap/>
            <w:vAlign w:val="center"/>
            <w:hideMark/>
          </w:tcPr>
          <w:p w14:paraId="339E5510"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5C32148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0849CD4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Diseño de Videojuegos: Una introducción</w:t>
            </w:r>
          </w:p>
        </w:tc>
      </w:tr>
      <w:tr w:rsidR="00B62032" w:rsidRPr="000A2F0D" w14:paraId="0EE42F7B" w14:textId="77777777" w:rsidTr="003C144E">
        <w:trPr>
          <w:trHeight w:val="300"/>
        </w:trPr>
        <w:tc>
          <w:tcPr>
            <w:tcW w:w="1630" w:type="dxa"/>
            <w:noWrap/>
            <w:vAlign w:val="center"/>
            <w:hideMark/>
          </w:tcPr>
          <w:p w14:paraId="7404960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6EFBDE4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4F8A7CD7"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Emprendimiento y métodos ágiles de desarrollo en videojuegos  </w:t>
            </w:r>
          </w:p>
        </w:tc>
      </w:tr>
      <w:tr w:rsidR="00B62032" w:rsidRPr="000A2F0D" w14:paraId="06E1FB9E" w14:textId="77777777" w:rsidTr="003C144E">
        <w:trPr>
          <w:trHeight w:val="300"/>
        </w:trPr>
        <w:tc>
          <w:tcPr>
            <w:tcW w:w="1630" w:type="dxa"/>
            <w:noWrap/>
            <w:vAlign w:val="center"/>
            <w:hideMark/>
          </w:tcPr>
          <w:p w14:paraId="62FE405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4EF6844C"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623E30C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Estilos de Liderazgo: opciones para avanzar en desafíos complejos  </w:t>
            </w:r>
          </w:p>
        </w:tc>
      </w:tr>
      <w:tr w:rsidR="00B62032" w:rsidRPr="000A2F0D" w14:paraId="40D1D650" w14:textId="77777777" w:rsidTr="003C144E">
        <w:trPr>
          <w:trHeight w:val="300"/>
        </w:trPr>
        <w:tc>
          <w:tcPr>
            <w:tcW w:w="1630" w:type="dxa"/>
            <w:noWrap/>
            <w:vAlign w:val="center"/>
            <w:hideMark/>
          </w:tcPr>
          <w:p w14:paraId="267E8E27"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60203905"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4F38604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Formadores de Ciudadanía </w:t>
            </w:r>
          </w:p>
        </w:tc>
      </w:tr>
      <w:tr w:rsidR="00B62032" w:rsidRPr="000A2F0D" w14:paraId="224F918D" w14:textId="77777777" w:rsidTr="003C144E">
        <w:trPr>
          <w:trHeight w:val="300"/>
        </w:trPr>
        <w:tc>
          <w:tcPr>
            <w:tcW w:w="1630" w:type="dxa"/>
            <w:noWrap/>
            <w:vAlign w:val="center"/>
            <w:hideMark/>
          </w:tcPr>
          <w:p w14:paraId="4D178B1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1B3FA489"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7397D191"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Fundamentos de Finanzas Empresariales </w:t>
            </w:r>
          </w:p>
        </w:tc>
      </w:tr>
      <w:tr w:rsidR="00B62032" w:rsidRPr="000A2F0D" w14:paraId="009980A3" w14:textId="77777777" w:rsidTr="003C144E">
        <w:trPr>
          <w:trHeight w:val="300"/>
        </w:trPr>
        <w:tc>
          <w:tcPr>
            <w:tcW w:w="1630" w:type="dxa"/>
            <w:noWrap/>
            <w:vAlign w:val="center"/>
            <w:hideMark/>
          </w:tcPr>
          <w:p w14:paraId="618F9B0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5D3B15FC"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FutureLearn</w:t>
            </w:r>
            <w:proofErr w:type="spellEnd"/>
          </w:p>
        </w:tc>
        <w:tc>
          <w:tcPr>
            <w:tcW w:w="2410" w:type="dxa"/>
            <w:noWrap/>
            <w:vAlign w:val="center"/>
            <w:hideMark/>
          </w:tcPr>
          <w:p w14:paraId="3EC7587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Gabriel García Márquez: entre el poder, la historia y el amor</w:t>
            </w:r>
          </w:p>
        </w:tc>
      </w:tr>
      <w:tr w:rsidR="00B62032" w:rsidRPr="00DD368B" w14:paraId="44A79A49" w14:textId="77777777" w:rsidTr="003C144E">
        <w:trPr>
          <w:trHeight w:val="300"/>
        </w:trPr>
        <w:tc>
          <w:tcPr>
            <w:tcW w:w="1630" w:type="dxa"/>
            <w:noWrap/>
            <w:vAlign w:val="center"/>
            <w:hideMark/>
          </w:tcPr>
          <w:p w14:paraId="1BE8918F"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4424D219"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FutureLearn</w:t>
            </w:r>
            <w:proofErr w:type="spellEnd"/>
          </w:p>
        </w:tc>
        <w:tc>
          <w:tcPr>
            <w:tcW w:w="2410" w:type="dxa"/>
            <w:noWrap/>
            <w:vAlign w:val="center"/>
            <w:hideMark/>
          </w:tcPr>
          <w:p w14:paraId="539CE26F" w14:textId="77777777" w:rsidR="00B62032" w:rsidRPr="00B62032" w:rsidRDefault="00B62032" w:rsidP="003C144E">
            <w:pPr>
              <w:rPr>
                <w:rFonts w:ascii="Calibri" w:hAnsi="Calibri" w:cs="Calibri"/>
                <w:color w:val="000000"/>
                <w:sz w:val="12"/>
                <w:szCs w:val="12"/>
                <w:lang w:val="en-US" w:eastAsia="es-CO"/>
              </w:rPr>
            </w:pPr>
            <w:r w:rsidRPr="00B62032">
              <w:rPr>
                <w:rFonts w:ascii="Calibri" w:hAnsi="Calibri" w:cs="Calibri"/>
                <w:color w:val="000000"/>
                <w:sz w:val="12"/>
                <w:szCs w:val="12"/>
                <w:lang w:val="en-US" w:eastAsia="es-CO"/>
              </w:rPr>
              <w:t xml:space="preserve">Gabriel García Márquez: Power, History and Love  </w:t>
            </w:r>
          </w:p>
        </w:tc>
      </w:tr>
      <w:tr w:rsidR="00B62032" w:rsidRPr="000A2F0D" w14:paraId="515F1248" w14:textId="77777777" w:rsidTr="003C144E">
        <w:trPr>
          <w:trHeight w:val="300"/>
        </w:trPr>
        <w:tc>
          <w:tcPr>
            <w:tcW w:w="1630" w:type="dxa"/>
            <w:noWrap/>
            <w:vAlign w:val="center"/>
            <w:hideMark/>
          </w:tcPr>
          <w:p w14:paraId="6CD6B3D0"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03BD35D7"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0CC7359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Leer a Macondo: la obra de Gabriel García Márquez  </w:t>
            </w:r>
          </w:p>
        </w:tc>
      </w:tr>
      <w:tr w:rsidR="00B62032" w:rsidRPr="000A2F0D" w14:paraId="08B303CC" w14:textId="77777777" w:rsidTr="003C144E">
        <w:trPr>
          <w:trHeight w:val="300"/>
        </w:trPr>
        <w:tc>
          <w:tcPr>
            <w:tcW w:w="1630" w:type="dxa"/>
            <w:noWrap/>
            <w:vAlign w:val="center"/>
            <w:hideMark/>
          </w:tcPr>
          <w:p w14:paraId="474D31BE"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777A1AD7"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FutureLearn</w:t>
            </w:r>
            <w:proofErr w:type="spellEnd"/>
          </w:p>
        </w:tc>
        <w:tc>
          <w:tcPr>
            <w:tcW w:w="2410" w:type="dxa"/>
            <w:noWrap/>
            <w:vAlign w:val="center"/>
            <w:hideMark/>
          </w:tcPr>
          <w:p w14:paraId="22649BA0"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Leer a Macondo: La obra de Gabriel García Márquez  </w:t>
            </w:r>
          </w:p>
        </w:tc>
      </w:tr>
      <w:tr w:rsidR="00B62032" w:rsidRPr="000A2F0D" w14:paraId="0AA741DA" w14:textId="77777777" w:rsidTr="003C144E">
        <w:trPr>
          <w:trHeight w:val="300"/>
        </w:trPr>
        <w:tc>
          <w:tcPr>
            <w:tcW w:w="1630" w:type="dxa"/>
            <w:noWrap/>
            <w:vAlign w:val="center"/>
            <w:hideMark/>
          </w:tcPr>
          <w:p w14:paraId="56A5653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2228494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7E908E1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Marketing Verde </w:t>
            </w:r>
          </w:p>
        </w:tc>
      </w:tr>
      <w:tr w:rsidR="00B62032" w:rsidRPr="000A2F0D" w14:paraId="096A0E13" w14:textId="77777777" w:rsidTr="003C144E">
        <w:trPr>
          <w:trHeight w:val="300"/>
        </w:trPr>
        <w:tc>
          <w:tcPr>
            <w:tcW w:w="1630" w:type="dxa"/>
            <w:noWrap/>
            <w:vAlign w:val="center"/>
            <w:hideMark/>
          </w:tcPr>
          <w:p w14:paraId="4D95FEAB"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0E57C1FD"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Miríada X</w:t>
            </w:r>
          </w:p>
        </w:tc>
        <w:tc>
          <w:tcPr>
            <w:tcW w:w="2410" w:type="dxa"/>
            <w:noWrap/>
            <w:vAlign w:val="center"/>
            <w:hideMark/>
          </w:tcPr>
          <w:p w14:paraId="57B9AE8C"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Morfo-fisiología cardíaca. Aplicación Clínica</w:t>
            </w:r>
          </w:p>
        </w:tc>
      </w:tr>
      <w:tr w:rsidR="00B62032" w:rsidRPr="00DD368B" w14:paraId="1C5AEB71" w14:textId="77777777" w:rsidTr="003C144E">
        <w:trPr>
          <w:trHeight w:val="300"/>
        </w:trPr>
        <w:tc>
          <w:tcPr>
            <w:tcW w:w="1630" w:type="dxa"/>
            <w:noWrap/>
            <w:vAlign w:val="center"/>
            <w:hideMark/>
          </w:tcPr>
          <w:p w14:paraId="44AAA0E1"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60EAB77F" w14:textId="77777777" w:rsidR="00B62032" w:rsidRPr="000A2F0D" w:rsidRDefault="00B62032" w:rsidP="003C144E">
            <w:pPr>
              <w:rPr>
                <w:rFonts w:ascii="Calibri" w:hAnsi="Calibri" w:cs="Calibri"/>
                <w:color w:val="000000"/>
                <w:sz w:val="12"/>
                <w:szCs w:val="12"/>
                <w:lang w:val="es-CO" w:eastAsia="es-CO"/>
              </w:rPr>
            </w:pPr>
            <w:proofErr w:type="spellStart"/>
            <w:r w:rsidRPr="000A2F0D">
              <w:rPr>
                <w:rFonts w:ascii="Calibri" w:hAnsi="Calibri" w:cs="Calibri"/>
                <w:color w:val="000000"/>
                <w:sz w:val="12"/>
                <w:szCs w:val="12"/>
                <w:lang w:val="es-CO" w:eastAsia="es-CO"/>
              </w:rPr>
              <w:t>FutureLearn</w:t>
            </w:r>
            <w:proofErr w:type="spellEnd"/>
          </w:p>
        </w:tc>
        <w:tc>
          <w:tcPr>
            <w:tcW w:w="2410" w:type="dxa"/>
            <w:noWrap/>
            <w:vAlign w:val="center"/>
            <w:hideMark/>
          </w:tcPr>
          <w:p w14:paraId="278E6239" w14:textId="77777777" w:rsidR="00B62032" w:rsidRPr="00B62032" w:rsidRDefault="00B62032" w:rsidP="003C144E">
            <w:pPr>
              <w:rPr>
                <w:rFonts w:ascii="Calibri" w:hAnsi="Calibri" w:cs="Calibri"/>
                <w:color w:val="000000"/>
                <w:sz w:val="12"/>
                <w:szCs w:val="12"/>
                <w:lang w:val="en-US" w:eastAsia="es-CO"/>
              </w:rPr>
            </w:pPr>
            <w:r w:rsidRPr="00B62032">
              <w:rPr>
                <w:rFonts w:ascii="Calibri" w:hAnsi="Calibri" w:cs="Calibri"/>
                <w:color w:val="000000"/>
                <w:sz w:val="12"/>
                <w:szCs w:val="12"/>
                <w:lang w:val="en-US" w:eastAsia="es-CO"/>
              </w:rPr>
              <w:t xml:space="preserve">Reading Macondo: the Works of Gabriel García Márquez </w:t>
            </w:r>
          </w:p>
        </w:tc>
      </w:tr>
      <w:tr w:rsidR="00B62032" w:rsidRPr="000A2F0D" w14:paraId="0051EBE8" w14:textId="77777777" w:rsidTr="003C144E">
        <w:trPr>
          <w:trHeight w:val="300"/>
        </w:trPr>
        <w:tc>
          <w:tcPr>
            <w:tcW w:w="1630" w:type="dxa"/>
            <w:noWrap/>
            <w:vAlign w:val="center"/>
            <w:hideMark/>
          </w:tcPr>
          <w:p w14:paraId="6707138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15844AAE"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0F31B0A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Sexualidad y educación</w:t>
            </w:r>
          </w:p>
        </w:tc>
      </w:tr>
      <w:tr w:rsidR="00B62032" w:rsidRPr="000A2F0D" w14:paraId="3A55FB32" w14:textId="77777777" w:rsidTr="003C144E">
        <w:trPr>
          <w:trHeight w:val="300"/>
        </w:trPr>
        <w:tc>
          <w:tcPr>
            <w:tcW w:w="1630" w:type="dxa"/>
            <w:noWrap/>
            <w:vAlign w:val="center"/>
            <w:hideMark/>
          </w:tcPr>
          <w:p w14:paraId="61D3C778"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14983C89"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2F5711E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Sexualidad...mucho más que sexo </w:t>
            </w:r>
          </w:p>
        </w:tc>
      </w:tr>
      <w:tr w:rsidR="00B62032" w:rsidRPr="000A2F0D" w14:paraId="2ECB0B0C" w14:textId="77777777" w:rsidTr="003C144E">
        <w:trPr>
          <w:trHeight w:val="300"/>
        </w:trPr>
        <w:tc>
          <w:tcPr>
            <w:tcW w:w="1630" w:type="dxa"/>
            <w:noWrap/>
            <w:vAlign w:val="center"/>
            <w:hideMark/>
          </w:tcPr>
          <w:p w14:paraId="0F927CD1"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 los Andes</w:t>
            </w:r>
          </w:p>
        </w:tc>
        <w:tc>
          <w:tcPr>
            <w:tcW w:w="850" w:type="dxa"/>
            <w:noWrap/>
            <w:vAlign w:val="center"/>
            <w:hideMark/>
          </w:tcPr>
          <w:p w14:paraId="01CB14A1"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Coursera</w:t>
            </w:r>
          </w:p>
        </w:tc>
        <w:tc>
          <w:tcPr>
            <w:tcW w:w="2410" w:type="dxa"/>
            <w:noWrap/>
            <w:vAlign w:val="center"/>
            <w:hideMark/>
          </w:tcPr>
          <w:p w14:paraId="66E30887"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Tesoros de la Física y sus Descubridores I </w:t>
            </w:r>
          </w:p>
        </w:tc>
      </w:tr>
      <w:tr w:rsidR="00B62032" w:rsidRPr="000A2F0D" w14:paraId="164EE033" w14:textId="77777777" w:rsidTr="003C144E">
        <w:trPr>
          <w:trHeight w:val="300"/>
        </w:trPr>
        <w:tc>
          <w:tcPr>
            <w:tcW w:w="1630" w:type="dxa"/>
            <w:noWrap/>
            <w:vAlign w:val="center"/>
            <w:hideMark/>
          </w:tcPr>
          <w:p w14:paraId="3E739A5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del Rosario</w:t>
            </w:r>
          </w:p>
        </w:tc>
        <w:tc>
          <w:tcPr>
            <w:tcW w:w="850" w:type="dxa"/>
            <w:noWrap/>
            <w:vAlign w:val="center"/>
            <w:hideMark/>
          </w:tcPr>
          <w:p w14:paraId="73F499F3"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 Miríada X</w:t>
            </w:r>
          </w:p>
        </w:tc>
        <w:tc>
          <w:tcPr>
            <w:tcW w:w="2410" w:type="dxa"/>
            <w:noWrap/>
            <w:vAlign w:val="center"/>
            <w:hideMark/>
          </w:tcPr>
          <w:p w14:paraId="09C2EEC6"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Poder en Venezuela ¿Cómo entender la Venezuela de Hoy?</w:t>
            </w:r>
          </w:p>
        </w:tc>
      </w:tr>
      <w:tr w:rsidR="00B62032" w:rsidRPr="000A2F0D" w14:paraId="6A09659C" w14:textId="77777777" w:rsidTr="003C144E">
        <w:trPr>
          <w:trHeight w:val="300"/>
        </w:trPr>
        <w:tc>
          <w:tcPr>
            <w:tcW w:w="1630" w:type="dxa"/>
            <w:noWrap/>
            <w:vAlign w:val="center"/>
            <w:hideMark/>
          </w:tcPr>
          <w:p w14:paraId="6AFBB5D4"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EAFIT</w:t>
            </w:r>
          </w:p>
        </w:tc>
        <w:tc>
          <w:tcPr>
            <w:tcW w:w="850" w:type="dxa"/>
            <w:noWrap/>
            <w:vAlign w:val="center"/>
            <w:hideMark/>
          </w:tcPr>
          <w:p w14:paraId="557B73C9"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Miríada X</w:t>
            </w:r>
          </w:p>
        </w:tc>
        <w:tc>
          <w:tcPr>
            <w:tcW w:w="2410" w:type="dxa"/>
            <w:noWrap/>
            <w:vAlign w:val="center"/>
            <w:hideMark/>
          </w:tcPr>
          <w:p w14:paraId="7C15C3E7"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Conceptos básicos de Estática: Análisis de partículas</w:t>
            </w:r>
          </w:p>
        </w:tc>
      </w:tr>
      <w:tr w:rsidR="00B62032" w:rsidRPr="000A2F0D" w14:paraId="3F7E40A0" w14:textId="77777777" w:rsidTr="003C144E">
        <w:trPr>
          <w:trHeight w:val="300"/>
        </w:trPr>
        <w:tc>
          <w:tcPr>
            <w:tcW w:w="1630" w:type="dxa"/>
            <w:noWrap/>
            <w:vAlign w:val="center"/>
            <w:hideMark/>
          </w:tcPr>
          <w:p w14:paraId="058BF2B5"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El Bosque</w:t>
            </w:r>
          </w:p>
        </w:tc>
        <w:tc>
          <w:tcPr>
            <w:tcW w:w="850" w:type="dxa"/>
            <w:noWrap/>
            <w:vAlign w:val="center"/>
            <w:hideMark/>
          </w:tcPr>
          <w:p w14:paraId="64EAC5D8"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Miríada X</w:t>
            </w:r>
          </w:p>
        </w:tc>
        <w:tc>
          <w:tcPr>
            <w:tcW w:w="2410" w:type="dxa"/>
            <w:noWrap/>
            <w:vAlign w:val="center"/>
            <w:hideMark/>
          </w:tcPr>
          <w:p w14:paraId="1DB4E33C"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Morfo-fisiología cardíaca. Aplicación Clínica </w:t>
            </w:r>
          </w:p>
        </w:tc>
      </w:tr>
      <w:tr w:rsidR="00B62032" w:rsidRPr="000A2F0D" w14:paraId="5E78C4C5" w14:textId="77777777" w:rsidTr="003C144E">
        <w:trPr>
          <w:trHeight w:val="300"/>
        </w:trPr>
        <w:tc>
          <w:tcPr>
            <w:tcW w:w="1630" w:type="dxa"/>
            <w:noWrap/>
            <w:vAlign w:val="center"/>
            <w:hideMark/>
          </w:tcPr>
          <w:p w14:paraId="69820D12"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Universidad Tecnológica de Pereira</w:t>
            </w:r>
          </w:p>
        </w:tc>
        <w:tc>
          <w:tcPr>
            <w:tcW w:w="850" w:type="dxa"/>
            <w:noWrap/>
            <w:vAlign w:val="center"/>
            <w:hideMark/>
          </w:tcPr>
          <w:p w14:paraId="3D3C484D"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Miríada X</w:t>
            </w:r>
          </w:p>
        </w:tc>
        <w:tc>
          <w:tcPr>
            <w:tcW w:w="2410" w:type="dxa"/>
            <w:noWrap/>
            <w:vAlign w:val="center"/>
            <w:hideMark/>
          </w:tcPr>
          <w:p w14:paraId="4CAE86DE" w14:textId="77777777" w:rsidR="00B62032" w:rsidRPr="000A2F0D" w:rsidRDefault="00B62032" w:rsidP="003C144E">
            <w:pPr>
              <w:rPr>
                <w:rFonts w:ascii="Calibri" w:hAnsi="Calibri" w:cs="Calibri"/>
                <w:color w:val="000000"/>
                <w:sz w:val="12"/>
                <w:szCs w:val="12"/>
                <w:lang w:val="es-CO" w:eastAsia="es-CO"/>
              </w:rPr>
            </w:pPr>
            <w:r w:rsidRPr="000A2F0D">
              <w:rPr>
                <w:rFonts w:ascii="Calibri" w:hAnsi="Calibri" w:cs="Calibri"/>
                <w:color w:val="000000"/>
                <w:sz w:val="12"/>
                <w:szCs w:val="12"/>
                <w:lang w:val="es-CO" w:eastAsia="es-CO"/>
              </w:rPr>
              <w:t xml:space="preserve">Arte Latinoamericano con Énfasis Colombia  </w:t>
            </w:r>
          </w:p>
        </w:tc>
      </w:tr>
      <w:bookmarkEnd w:id="2"/>
    </w:tbl>
    <w:p w14:paraId="79660373" w14:textId="4ED46B91" w:rsidR="00B62032" w:rsidRDefault="00B62032" w:rsidP="007C5FBB">
      <w:pPr>
        <w:pStyle w:val="ADYNATabla"/>
        <w:rPr>
          <w:lang w:val="es-ES_tradnl"/>
        </w:rPr>
      </w:pPr>
    </w:p>
    <w:p w14:paraId="462F7264" w14:textId="77777777" w:rsidR="00B62032" w:rsidRDefault="00B62032" w:rsidP="007C5FBB">
      <w:pPr>
        <w:pStyle w:val="ADYNATabla"/>
        <w:rPr>
          <w:lang w:val="es-ES_tradnl"/>
        </w:rPr>
      </w:pPr>
    </w:p>
    <w:p w14:paraId="4225CEAA" w14:textId="77777777" w:rsidR="00CF11C1" w:rsidRDefault="00B62032" w:rsidP="00CF11C1">
      <w:pPr>
        <w:pStyle w:val="Text"/>
        <w:ind w:firstLine="284"/>
        <w:rPr>
          <w:lang w:val="es-CO"/>
        </w:rPr>
      </w:pPr>
      <w:r w:rsidRPr="005117E4">
        <w:rPr>
          <w:lang w:val="es-CO"/>
        </w:rPr>
        <w:t xml:space="preserve">De acuerdo con la tabla anterior se puedo notar que solo una universidad en Colombia tiene oferta de curso en la plataforma Coursera, considerada la plataforma con el respaldo de las universidades más prestigiosas del mundo. Actualmente mantiene contratos con las principales instituciones universitarias de Estados Unidos y ha logrado una gran reputación y ofrecer una gama de MOOC de todas las ramas del saber. La Universidad de los Andes ofrece desde esta plataforma una aproximado de 24 cursos MOOC, ubicándose en la Universidad Colombiana con más oferta de cursos y variedad de temas que van desde Diseño de Videojuegos y Programación hasta Emprendimiento y Formación ciudadana. La Pontificia Universidad Javeriana es la segunda en oferta de MOOC, y esta lo hace desde la plataforma </w:t>
      </w:r>
      <w:proofErr w:type="spellStart"/>
      <w:r w:rsidRPr="005117E4">
        <w:rPr>
          <w:lang w:val="es-CO"/>
        </w:rPr>
        <w:t>Edx</w:t>
      </w:r>
      <w:proofErr w:type="spellEnd"/>
      <w:r w:rsidRPr="005117E4">
        <w:rPr>
          <w:lang w:val="es-CO"/>
        </w:rPr>
        <w:t xml:space="preserve">. La plataforma </w:t>
      </w:r>
      <w:proofErr w:type="spellStart"/>
      <w:r w:rsidRPr="005117E4">
        <w:rPr>
          <w:lang w:val="es-CO"/>
        </w:rPr>
        <w:t>Edx</w:t>
      </w:r>
      <w:proofErr w:type="spellEnd"/>
      <w:r w:rsidRPr="005117E4">
        <w:rPr>
          <w:lang w:val="es-CO"/>
        </w:rPr>
        <w:t xml:space="preserve"> fue fundada por la Universidad de Harvard y el MIT en 2012, actualmente cuenta con más de 90 socios globales, entre </w:t>
      </w:r>
      <w:r w:rsidRPr="005117E4">
        <w:rPr>
          <w:lang w:val="es-CO"/>
        </w:rPr>
        <w:lastRenderedPageBreak/>
        <w:t xml:space="preserve">los que se encuentran universidades, organizaciones sin fines de lucro e instituciones más importantes del mundo como miembros. Desde </w:t>
      </w:r>
      <w:proofErr w:type="spellStart"/>
      <w:r w:rsidRPr="005117E4">
        <w:rPr>
          <w:lang w:val="es-CO"/>
        </w:rPr>
        <w:t>Edx</w:t>
      </w:r>
      <w:proofErr w:type="spellEnd"/>
      <w:r w:rsidRPr="005117E4">
        <w:rPr>
          <w:lang w:val="es-CO"/>
        </w:rPr>
        <w:t xml:space="preserve">, la Universidad Javeriana ofrece un aproximado de 22 MOOC hasta junio de 2017. </w:t>
      </w:r>
    </w:p>
    <w:p w14:paraId="24F014DA" w14:textId="77777777" w:rsidR="00CF11C1" w:rsidRDefault="00B62032" w:rsidP="00CF11C1">
      <w:pPr>
        <w:pStyle w:val="Text"/>
        <w:ind w:firstLine="284"/>
        <w:rPr>
          <w:lang w:val="es-CO"/>
        </w:rPr>
      </w:pPr>
      <w:proofErr w:type="spellStart"/>
      <w:r w:rsidRPr="005117E4">
        <w:rPr>
          <w:lang w:val="es-CO"/>
        </w:rPr>
        <w:t>MiriadaX</w:t>
      </w:r>
      <w:proofErr w:type="spellEnd"/>
      <w:r w:rsidRPr="005117E4">
        <w:rPr>
          <w:lang w:val="es-CO"/>
        </w:rPr>
        <w:t xml:space="preserve"> es la otra plataforma seleccionada por las universidades colombianas y a esto le agregamos que es en español. Desde sus inicios las plataformas MOOC en 2012 han tenido el liderazgo del ámbito académico estadounidense, sin embargo, en los inicios del 2013 surge una iniciativa en España, apoyada por Telefónica </w:t>
      </w:r>
      <w:proofErr w:type="spellStart"/>
      <w:r w:rsidRPr="005117E4">
        <w:rPr>
          <w:lang w:val="es-CO"/>
        </w:rPr>
        <w:t>Learning</w:t>
      </w:r>
      <w:proofErr w:type="spellEnd"/>
      <w:r w:rsidRPr="005117E4">
        <w:rPr>
          <w:lang w:val="es-CO"/>
        </w:rPr>
        <w:t xml:space="preserve"> </w:t>
      </w:r>
      <w:proofErr w:type="spellStart"/>
      <w:r w:rsidRPr="005117E4">
        <w:rPr>
          <w:lang w:val="es-CO"/>
        </w:rPr>
        <w:t>Services</w:t>
      </w:r>
      <w:proofErr w:type="spellEnd"/>
      <w:r w:rsidRPr="005117E4">
        <w:rPr>
          <w:lang w:val="es-CO"/>
        </w:rPr>
        <w:t xml:space="preserve"> y </w:t>
      </w:r>
      <w:proofErr w:type="spellStart"/>
      <w:r w:rsidRPr="005117E4">
        <w:rPr>
          <w:lang w:val="es-CO"/>
        </w:rPr>
        <w:t>Universia</w:t>
      </w:r>
      <w:proofErr w:type="spellEnd"/>
      <w:r w:rsidRPr="005117E4">
        <w:rPr>
          <w:lang w:val="es-CO"/>
        </w:rPr>
        <w:t xml:space="preserve"> con el objetivo de ofrecer MOOC por las universidades iberoamericanas de la red </w:t>
      </w:r>
      <w:proofErr w:type="spellStart"/>
      <w:r w:rsidRPr="005117E4">
        <w:rPr>
          <w:lang w:val="es-CO"/>
        </w:rPr>
        <w:t>Universia</w:t>
      </w:r>
      <w:proofErr w:type="spellEnd"/>
      <w:r w:rsidRPr="005117E4">
        <w:rPr>
          <w:lang w:val="es-CO"/>
        </w:rPr>
        <w:t xml:space="preserve">. Con la característica que Miríada X oferta cursos en español en su mayoría, sin duda como parte de su apuesta por la educación de calidad en el contexto iberoamericano, es una buena opción para las universidades colombianas. Es así que más universidades se han lanzado con esta plataforma es el caso de: Universidad Tecnológica de Pereira, Universidad El Bosque, Universidad EAFIT, Universidad del Rosario, Universidad de Ibagué, Universidad Autónoma de Occidente, Corporación Universitaria Minuto de Dios y finalmente la Universidad de los Andes también se suma en esta plataforma. </w:t>
      </w:r>
    </w:p>
    <w:p w14:paraId="4EEFD882" w14:textId="77777777" w:rsidR="00CF11C1" w:rsidRDefault="00B62032" w:rsidP="00CF11C1">
      <w:pPr>
        <w:pStyle w:val="Text"/>
        <w:ind w:firstLine="284"/>
        <w:rPr>
          <w:lang w:val="es-CO"/>
        </w:rPr>
      </w:pPr>
      <w:proofErr w:type="spellStart"/>
      <w:r w:rsidRPr="005117E4">
        <w:rPr>
          <w:lang w:val="es-CO"/>
        </w:rPr>
        <w:t>FutureLearn</w:t>
      </w:r>
      <w:proofErr w:type="spellEnd"/>
      <w:r w:rsidRPr="005117E4">
        <w:rPr>
          <w:lang w:val="es-CO"/>
        </w:rPr>
        <w:t xml:space="preserve"> es otra plataforma en la cual encontramos cursos de universidades colombiana, específicamente de la Universidad de los Andes, se destacan 4 cursos en idioma español y en inglés. Esta plataforma es propuesta por la Open University (Gran Bretaña), en la que también participan otras universidades británicas. A partir de mayo de 2016, incluye a 83 socios del Reino Unido y, además incluye socios no universitarios como: el Consejo Británico, la Biblioteca del Reino Unido y el Museo del mismo país. Future Lean tiene como objetivo ofrecer la mejor experiencia de calidad en MOOC de los estudiantes de cualquiera parte del mundo [19].</w:t>
      </w:r>
    </w:p>
    <w:p w14:paraId="7222E83B" w14:textId="785AD023" w:rsidR="00B62032" w:rsidRDefault="00B62032" w:rsidP="00CF11C1">
      <w:pPr>
        <w:pStyle w:val="Text"/>
        <w:ind w:firstLine="284"/>
        <w:rPr>
          <w:lang w:val="es-CO"/>
        </w:rPr>
      </w:pPr>
      <w:r w:rsidRPr="005117E4">
        <w:rPr>
          <w:lang w:val="es-CO"/>
        </w:rPr>
        <w:t>A continuación, se muestra en la gráfica la cantidad de cursos ofertados desde las plataformas mencionadas. Ver Figura 1.</w:t>
      </w:r>
    </w:p>
    <w:p w14:paraId="6D5E35F9" w14:textId="3FF571E5" w:rsidR="00B62032" w:rsidRDefault="00B62032" w:rsidP="00B62032">
      <w:pPr>
        <w:ind w:firstLine="284"/>
        <w:rPr>
          <w:sz w:val="20"/>
          <w:szCs w:val="20"/>
          <w:lang w:val="es-CO"/>
        </w:rPr>
      </w:pPr>
    </w:p>
    <w:p w14:paraId="461F45E4" w14:textId="0001F635" w:rsidR="00B62032" w:rsidRDefault="00B62032" w:rsidP="00B62032">
      <w:pPr>
        <w:ind w:firstLine="284"/>
        <w:rPr>
          <w:sz w:val="20"/>
          <w:szCs w:val="20"/>
          <w:lang w:val="es-CO"/>
        </w:rPr>
      </w:pPr>
      <w:r w:rsidRPr="00424F31">
        <w:rPr>
          <w:noProof/>
          <w:lang w:val="es-CO" w:eastAsia="es-CO"/>
        </w:rPr>
        <w:drawing>
          <wp:inline distT="0" distB="0" distL="0" distR="0" wp14:anchorId="5F0331B5" wp14:editId="0E148A1A">
            <wp:extent cx="2981325" cy="1844675"/>
            <wp:effectExtent l="0" t="0" r="9525" b="3175"/>
            <wp:docPr id="2"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4CC4F0A" w14:textId="2CCBC9EF" w:rsidR="00B62032" w:rsidRPr="00B62032" w:rsidRDefault="00B62032" w:rsidP="00B62032">
      <w:pPr>
        <w:ind w:firstLine="284"/>
        <w:rPr>
          <w:sz w:val="16"/>
          <w:szCs w:val="16"/>
          <w:lang w:val="es-CO"/>
        </w:rPr>
      </w:pPr>
      <w:r w:rsidRPr="00B62032">
        <w:rPr>
          <w:sz w:val="16"/>
          <w:szCs w:val="16"/>
          <w:lang w:val="es-CO"/>
        </w:rPr>
        <w:t>F</w:t>
      </w:r>
      <w:r>
        <w:rPr>
          <w:sz w:val="16"/>
          <w:szCs w:val="16"/>
          <w:lang w:val="es-CO"/>
        </w:rPr>
        <w:t xml:space="preserve">igura </w:t>
      </w:r>
      <w:r w:rsidRPr="00B62032">
        <w:rPr>
          <w:sz w:val="16"/>
          <w:szCs w:val="16"/>
          <w:lang w:val="es-CO"/>
        </w:rPr>
        <w:t>1.</w:t>
      </w:r>
    </w:p>
    <w:p w14:paraId="664F0281" w14:textId="5AE8C433" w:rsidR="00B62032" w:rsidRPr="00B62032" w:rsidRDefault="00B62032" w:rsidP="00B62032">
      <w:pPr>
        <w:ind w:firstLine="284"/>
        <w:rPr>
          <w:sz w:val="16"/>
          <w:szCs w:val="16"/>
          <w:lang w:val="es-CO"/>
        </w:rPr>
      </w:pPr>
      <w:r w:rsidRPr="00B62032">
        <w:rPr>
          <w:sz w:val="16"/>
          <w:szCs w:val="16"/>
          <w:lang w:val="es-CO"/>
        </w:rPr>
        <w:t>C</w:t>
      </w:r>
      <w:r>
        <w:rPr>
          <w:sz w:val="16"/>
          <w:szCs w:val="16"/>
          <w:lang w:val="es-CO"/>
        </w:rPr>
        <w:t xml:space="preserve">antidad de Cursos desde Plataformas </w:t>
      </w:r>
    </w:p>
    <w:p w14:paraId="109808B2" w14:textId="5940E6DF" w:rsidR="00B62032" w:rsidRPr="00B62032" w:rsidRDefault="00B62032" w:rsidP="00B62032">
      <w:pPr>
        <w:ind w:firstLine="284"/>
        <w:rPr>
          <w:sz w:val="16"/>
          <w:szCs w:val="16"/>
          <w:lang w:val="es-CO"/>
        </w:rPr>
      </w:pPr>
    </w:p>
    <w:p w14:paraId="47D0B1EB" w14:textId="77777777" w:rsidR="00CF11C1" w:rsidRDefault="00B62032" w:rsidP="00CF11C1">
      <w:pPr>
        <w:pStyle w:val="Text"/>
        <w:ind w:firstLine="284"/>
        <w:rPr>
          <w:lang w:val="es-CO"/>
        </w:rPr>
      </w:pPr>
      <w:r w:rsidRPr="005117E4">
        <w:rPr>
          <w:lang w:val="es-CO"/>
        </w:rPr>
        <w:t xml:space="preserve">De manera general las instituciones que imparte los MOOC en el ámbito colombiano, son universidades privadas de gran prestigio en Colombia y que se han dado a la tarea de darse a conocer y compartir conocimiento a través de los MOOC. Esta </w:t>
      </w:r>
      <w:r w:rsidRPr="005117E4">
        <w:rPr>
          <w:lang w:val="es-CO"/>
        </w:rPr>
        <w:t xml:space="preserve">pequeña lista de universidades no muestra universidades públicas y las razones pueden estar relacionadas por los costos. Teniendo en cuenta que la oferta aún es corta, en este estudio se incluyen todos los cursos identificados en las plataformas identificadas, no se ha procedido a discriminar los por actualidad de manera que se pueda usar toda la información disponible a este respecto. Es decir, se han tomado todos los MOOC cuyo plazo de inscripción ya está cerrado, los que fueron impartidos o los que se impartirán varios meses después de la realización de este trabajo y cuya inscripción aún no tiene fecha determinada pero sí aparecen dentro de la oferta académica. </w:t>
      </w:r>
    </w:p>
    <w:p w14:paraId="33B0FDE1" w14:textId="2518E9DE" w:rsidR="00B62032" w:rsidRDefault="00B62032" w:rsidP="00CF11C1">
      <w:pPr>
        <w:pStyle w:val="Text"/>
        <w:ind w:firstLine="284"/>
        <w:rPr>
          <w:lang w:val="es-CO"/>
        </w:rPr>
      </w:pPr>
      <w:r w:rsidRPr="005117E4">
        <w:rPr>
          <w:lang w:val="es-CO"/>
        </w:rPr>
        <w:t>Con el objeto de organizar los cursos por áreas de conocimiento y analizar la tendencia de la oferta de temas, se han organizado teniendo en cuenta el nombre del curso y su temática. No se tiene en cuenta la organización realizada por las plataformas porque cada una es diferente o tiene sus propios criterios para las categorías.  De acuerdo con el Ministerio de Educación Nacional en Colombia, las áreas de conocimiento son agrupación que se hace de los programas académicos, teniendo en cuenta cierta afinidad en los contenidos, en los campos específicos del conocimiento, en los campos de acción de la educación superior cuyos propósitos de formación conduzcan a la investigación o al desempeño de ocupaciones, profesiones y disciplinas. Las áreas de conocimiento son: a) Agronomía, Veterinaria y afines, b) Bellas Artes, c) Ciencias de la Educación, d) Ciencias de la Salud, e) Ciencias Sociales y Humanas, f) Economía, Administración, Contaduría y afines, g) Ingeniería, Arquitectura, Urbanismo y afines, y h) Matemáticas y Ciencias Naturales, MEN [20]. Se tendrán en cuenta estas categorías porque es lo más común entre las universidades para identificar las áreas de conocimiento. En el siguiente grafico se muestra la oferta de curso de acuerdo con las áreas de conocimiento. Ver Figura 2. Cantidad de cursos por áreas de conocimiento.</w:t>
      </w:r>
    </w:p>
    <w:p w14:paraId="30618219" w14:textId="1C9C8B5F" w:rsidR="00B62032" w:rsidRDefault="00B62032" w:rsidP="00DD368B">
      <w:pPr>
        <w:pStyle w:val="Text"/>
        <w:jc w:val="left"/>
        <w:rPr>
          <w:lang w:val="es-CO"/>
        </w:rPr>
      </w:pPr>
      <w:r w:rsidRPr="00424F31">
        <w:rPr>
          <w:noProof/>
          <w:lang w:val="es-CO" w:eastAsia="es-CO"/>
        </w:rPr>
        <w:drawing>
          <wp:inline distT="0" distB="0" distL="0" distR="0" wp14:anchorId="3CAEE019" wp14:editId="31476FE6">
            <wp:extent cx="2989580" cy="1741170"/>
            <wp:effectExtent l="0" t="0" r="1270" b="11430"/>
            <wp:docPr id="4"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9F4137" w14:textId="28741A03" w:rsidR="00B62032" w:rsidRPr="00B62032" w:rsidRDefault="00B62032" w:rsidP="00B62032">
      <w:pPr>
        <w:ind w:firstLine="284"/>
        <w:rPr>
          <w:sz w:val="16"/>
          <w:szCs w:val="16"/>
          <w:lang w:val="es-CO"/>
        </w:rPr>
      </w:pPr>
      <w:r w:rsidRPr="00B62032">
        <w:rPr>
          <w:sz w:val="16"/>
          <w:szCs w:val="16"/>
          <w:lang w:val="es-CO"/>
        </w:rPr>
        <w:t>F</w:t>
      </w:r>
      <w:r>
        <w:rPr>
          <w:sz w:val="16"/>
          <w:szCs w:val="16"/>
          <w:lang w:val="es-CO"/>
        </w:rPr>
        <w:t>igura 2</w:t>
      </w:r>
      <w:r w:rsidRPr="00B62032">
        <w:rPr>
          <w:sz w:val="16"/>
          <w:szCs w:val="16"/>
          <w:lang w:val="es-CO"/>
        </w:rPr>
        <w:t>.</w:t>
      </w:r>
    </w:p>
    <w:p w14:paraId="77F50BFD" w14:textId="2DC500B8" w:rsidR="00B62032" w:rsidRDefault="00B62032" w:rsidP="00B62032">
      <w:pPr>
        <w:pStyle w:val="Text"/>
        <w:rPr>
          <w:lang w:val="es-CO"/>
        </w:rPr>
      </w:pPr>
      <w:r w:rsidRPr="00B62032">
        <w:rPr>
          <w:sz w:val="16"/>
          <w:szCs w:val="16"/>
          <w:lang w:val="es-CO"/>
        </w:rPr>
        <w:t>C</w:t>
      </w:r>
      <w:r>
        <w:rPr>
          <w:sz w:val="16"/>
          <w:szCs w:val="16"/>
          <w:lang w:val="es-CO"/>
        </w:rPr>
        <w:t>antidad de Cursos por áreas de conocimiento.</w:t>
      </w:r>
    </w:p>
    <w:p w14:paraId="23FD3D61" w14:textId="64C5B45E" w:rsidR="00B62032" w:rsidRDefault="00B62032" w:rsidP="00B62032">
      <w:pPr>
        <w:pStyle w:val="Text"/>
        <w:rPr>
          <w:lang w:val="es-CO"/>
        </w:rPr>
      </w:pPr>
    </w:p>
    <w:p w14:paraId="5EBC9450" w14:textId="77777777" w:rsidR="00CF11C1" w:rsidRDefault="00B62032" w:rsidP="00CF11C1">
      <w:pPr>
        <w:pStyle w:val="Text"/>
        <w:ind w:firstLine="284"/>
        <w:rPr>
          <w:lang w:val="es-CO"/>
        </w:rPr>
      </w:pPr>
      <w:r w:rsidRPr="005117E4">
        <w:rPr>
          <w:lang w:val="es-CO"/>
        </w:rPr>
        <w:t xml:space="preserve">En la figura 2. Se puede confirmar que la tendencia de la oferta es hacia cursos en el área de la administración, economía y afines. Siguiendo en esta tendencia los cursos de ciencias sociales. Se puede notar además que en áreas como Agronomía, Veterinaria y afines solo se ha podido incluir uno y muy enfocado a medio ambiente de acuerdo con su título: Principios ecológicos para la comprensión de la sostenibilidad ambiental. </w:t>
      </w:r>
      <w:r w:rsidRPr="005117E4">
        <w:rPr>
          <w:lang w:val="es-CO"/>
        </w:rPr>
        <w:lastRenderedPageBreak/>
        <w:t xml:space="preserve">Igualmente, en el área de Matemáticas y Ciencias Naturales solo se identifican dos cursos. </w:t>
      </w:r>
    </w:p>
    <w:p w14:paraId="05BD5276" w14:textId="73B39C54" w:rsidR="00B62032" w:rsidRDefault="00B62032" w:rsidP="00CF11C1">
      <w:pPr>
        <w:pStyle w:val="Text"/>
        <w:ind w:firstLine="284"/>
        <w:rPr>
          <w:lang w:val="es-CO"/>
        </w:rPr>
      </w:pPr>
      <w:r w:rsidRPr="005117E4">
        <w:rPr>
          <w:lang w:val="es-CO"/>
        </w:rPr>
        <w:t>Entrando en detalles y analizamos cuáles son las instituciones más activas se puede observar que solo dos universidades se destacan en la oferta. Se puede recalcar que en la oferta que hace Colombia en MOOC la Universidad de los Andes lleva el liderazgo con el 51% de la oferta total y la Universidad Javeriana con el 33% de esta. El resto de universidades se sitúa en un porcentaje muy bajo con uno o dos cursos ofertados hasta junio del 2017. Ver Figura 3. Oferta de Universidades.</w:t>
      </w:r>
    </w:p>
    <w:p w14:paraId="4C812B6A" w14:textId="1D31696A" w:rsidR="00DD368B" w:rsidRDefault="00DD368B" w:rsidP="00DD368B">
      <w:pPr>
        <w:pStyle w:val="Text"/>
        <w:ind w:firstLine="0"/>
        <w:rPr>
          <w:lang w:val="es-CO"/>
        </w:rPr>
      </w:pPr>
      <w:bookmarkStart w:id="3" w:name="_GoBack"/>
      <w:bookmarkEnd w:id="3"/>
      <w:r w:rsidRPr="00424F31">
        <w:rPr>
          <w:noProof/>
          <w:lang w:val="es-CO" w:eastAsia="es-CO"/>
        </w:rPr>
        <w:drawing>
          <wp:anchor distT="0" distB="0" distL="114300" distR="114300" simplePos="0" relativeHeight="251659264" behindDoc="0" locked="0" layoutInCell="1" allowOverlap="1" wp14:anchorId="0BA5DAE8" wp14:editId="12E1281F">
            <wp:simplePos x="0" y="0"/>
            <wp:positionH relativeFrom="column">
              <wp:posOffset>-2540</wp:posOffset>
            </wp:positionH>
            <wp:positionV relativeFrom="paragraph">
              <wp:posOffset>149860</wp:posOffset>
            </wp:positionV>
            <wp:extent cx="3092450" cy="2867025"/>
            <wp:effectExtent l="0" t="0" r="12700" b="9525"/>
            <wp:wrapSquare wrapText="bothSides"/>
            <wp:docPr id="6" name="Gráfico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p>
    <w:p w14:paraId="2FAFE4D5" w14:textId="77777777" w:rsidR="00566747" w:rsidRDefault="00B62032" w:rsidP="00566747">
      <w:pPr>
        <w:rPr>
          <w:sz w:val="16"/>
          <w:szCs w:val="16"/>
          <w:lang w:val="es-CO"/>
        </w:rPr>
      </w:pPr>
      <w:r w:rsidRPr="00B62032">
        <w:rPr>
          <w:sz w:val="16"/>
          <w:szCs w:val="16"/>
          <w:lang w:val="es-CO"/>
        </w:rPr>
        <w:t>F</w:t>
      </w:r>
      <w:r>
        <w:rPr>
          <w:sz w:val="16"/>
          <w:szCs w:val="16"/>
          <w:lang w:val="es-CO"/>
        </w:rPr>
        <w:t>igura 3</w:t>
      </w:r>
      <w:r w:rsidR="00566747">
        <w:rPr>
          <w:sz w:val="16"/>
          <w:szCs w:val="16"/>
          <w:lang w:val="es-CO"/>
        </w:rPr>
        <w:t>.</w:t>
      </w:r>
    </w:p>
    <w:p w14:paraId="0AD03869" w14:textId="12EE583F" w:rsidR="00B62032" w:rsidRPr="00566747" w:rsidRDefault="00B62032" w:rsidP="00566747">
      <w:pPr>
        <w:rPr>
          <w:sz w:val="16"/>
          <w:szCs w:val="16"/>
          <w:lang w:val="es-CO"/>
        </w:rPr>
      </w:pPr>
      <w:r>
        <w:rPr>
          <w:sz w:val="16"/>
          <w:szCs w:val="16"/>
          <w:lang w:val="es-CO"/>
        </w:rPr>
        <w:t>Oferta de Universidades.</w:t>
      </w:r>
    </w:p>
    <w:p w14:paraId="3A0115EB" w14:textId="74B1DCF6" w:rsidR="00B62032" w:rsidRDefault="00B62032" w:rsidP="00B62032">
      <w:pPr>
        <w:ind w:firstLine="284"/>
        <w:rPr>
          <w:sz w:val="20"/>
          <w:szCs w:val="20"/>
          <w:lang w:val="es-CO"/>
        </w:rPr>
      </w:pPr>
    </w:p>
    <w:p w14:paraId="7455C5BB" w14:textId="0799D696" w:rsidR="00B62032" w:rsidRDefault="00B62032" w:rsidP="00CF11C1">
      <w:pPr>
        <w:pStyle w:val="Text"/>
        <w:ind w:firstLine="284"/>
        <w:rPr>
          <w:lang w:val="es-CO"/>
        </w:rPr>
      </w:pPr>
      <w:r w:rsidRPr="005117E4">
        <w:rPr>
          <w:lang w:val="es-CO"/>
        </w:rPr>
        <w:t>Desde el punto de vista pedagógico se puede anotar que estos cursos se ajustan completamente a los estrictos esquemas de las plataformas de manera que es muy poco lo que dejan a la innovación pedagógica. Sin embargo, la oferta de Colombia si está teniendo en cuenta que las nuevas tendencias tecnológicas van engranándose al sistema educativo, ya no resulta nuevo cuando se habla de una educación virtual, semipresencial o un aula de clase invertida, el hecho es que, la innegable globalización que vivimos y la utilización cotidiana de las tecnologías, nos han permitido romper los esquemas del espacio y el tiempo; de manea que nos resulta sencillo la interacción por personas de otras culturas, con estas nuevas propuestas de cursos [21].</w:t>
      </w:r>
    </w:p>
    <w:p w14:paraId="33C9E334" w14:textId="06276930" w:rsidR="00B62032" w:rsidRDefault="00B62032" w:rsidP="00B62032">
      <w:pPr>
        <w:pStyle w:val="Text"/>
        <w:rPr>
          <w:lang w:val="es-CO"/>
        </w:rPr>
      </w:pPr>
    </w:p>
    <w:p w14:paraId="1992B012" w14:textId="414F679E" w:rsidR="00B62032" w:rsidRDefault="00B62032" w:rsidP="00B62032">
      <w:pPr>
        <w:pStyle w:val="Ttulo1"/>
      </w:pPr>
      <w:r>
        <w:t>Conclusiones</w:t>
      </w:r>
    </w:p>
    <w:p w14:paraId="75306F17" w14:textId="77777777" w:rsidR="00B62032" w:rsidRDefault="00B62032" w:rsidP="00CF11C1">
      <w:pPr>
        <w:pStyle w:val="Text"/>
        <w:ind w:firstLine="284"/>
        <w:rPr>
          <w:lang w:val="es-CO"/>
        </w:rPr>
      </w:pPr>
    </w:p>
    <w:p w14:paraId="3A29421F" w14:textId="77777777" w:rsidR="00CF11C1" w:rsidRDefault="00B62032" w:rsidP="00CF11C1">
      <w:pPr>
        <w:pStyle w:val="Text"/>
        <w:ind w:firstLine="284"/>
        <w:rPr>
          <w:lang w:val="es-CO"/>
        </w:rPr>
      </w:pPr>
      <w:r w:rsidRPr="005117E4">
        <w:rPr>
          <w:lang w:val="es-CO"/>
        </w:rPr>
        <w:t>Las instituciones de Educación Superior deberían preocuparse por dar una respuesta adecuada al fenómeno de los MOOC como una herramienta alternativa para la educación superior sin olvidar los aspectos pedagógicos profundos, el rol de docentes, la evaluación como garantía de aprendizaje y los procesos de enseñanza-aprendizaje.</w:t>
      </w:r>
      <w:r w:rsidR="00CF11C1">
        <w:rPr>
          <w:lang w:val="es-CO"/>
        </w:rPr>
        <w:t xml:space="preserve"> </w:t>
      </w:r>
    </w:p>
    <w:p w14:paraId="39812F64" w14:textId="77777777" w:rsidR="00CF11C1" w:rsidRDefault="00B62032" w:rsidP="00CF11C1">
      <w:pPr>
        <w:pStyle w:val="Text"/>
        <w:ind w:firstLine="284"/>
        <w:rPr>
          <w:lang w:val="es-CO"/>
        </w:rPr>
      </w:pPr>
      <w:r w:rsidRPr="005117E4">
        <w:rPr>
          <w:lang w:val="es-CO"/>
        </w:rPr>
        <w:t xml:space="preserve">Es así que las diferentes plataformas condicionan los </w:t>
      </w:r>
      <w:r w:rsidRPr="005117E4">
        <w:rPr>
          <w:lang w:val="es-CO"/>
        </w:rPr>
        <w:t xml:space="preserve">diseños pedagógicos de MOOC en aspectos fundamentales como: el aprendizaje, las actividades y tareas, los medios y recursos, la interactividad y la evaluación. Cada plataforma tiene definidos sus esquemas de manera que si una universidad se asocia con una plataforma debe ajustarse a estos esquemas que desarman cualquier propuesta pedagógica diferente. </w:t>
      </w:r>
    </w:p>
    <w:p w14:paraId="2A1072BE" w14:textId="77777777" w:rsidR="00CF11C1" w:rsidRDefault="00B62032" w:rsidP="00CF11C1">
      <w:pPr>
        <w:pStyle w:val="Text"/>
        <w:ind w:firstLine="284"/>
        <w:rPr>
          <w:lang w:val="es-CO"/>
        </w:rPr>
      </w:pPr>
      <w:r w:rsidRPr="005117E4">
        <w:rPr>
          <w:lang w:val="es-CO"/>
        </w:rPr>
        <w:t>Las universidades colombianas en materia de educación abierta, en línea y masiva tiene mucho camino por recorres y vale la pena continuar revisando las experiencias de universidades extranjeras que llevan mucho recorrido en esta área para tomar nota y contextualizar propuestas desde lo local a lo internacional.</w:t>
      </w:r>
    </w:p>
    <w:p w14:paraId="4A2F5B89" w14:textId="4FC09492" w:rsidR="00B62032" w:rsidRPr="005117E4" w:rsidRDefault="00B62032" w:rsidP="00CF11C1">
      <w:pPr>
        <w:pStyle w:val="Text"/>
        <w:ind w:firstLine="284"/>
        <w:rPr>
          <w:lang w:val="es-CO"/>
        </w:rPr>
      </w:pPr>
      <w:r w:rsidRPr="005117E4">
        <w:rPr>
          <w:lang w:val="es-CO"/>
        </w:rPr>
        <w:t>Sin duda el reconocimiento que logra una universidad al proponer un MOOC exitoso es enorme, la promoción es en la dirección de compartir conocimiento de la manera más fuerte y convincente que no han logrado los departamentos de internacionalización. Es así como las gratuidades iniciales de los cursos pueden traer para las instituciones de educación valores adicionales que hoy son objeto de muchas investigaciones.</w:t>
      </w:r>
    </w:p>
    <w:p w14:paraId="2229DA25" w14:textId="77777777" w:rsidR="00B62032" w:rsidRPr="00B62032" w:rsidRDefault="00B62032" w:rsidP="007E7F5B">
      <w:pPr>
        <w:ind w:firstLine="284"/>
        <w:rPr>
          <w:sz w:val="20"/>
          <w:lang w:val="es-CO"/>
        </w:rPr>
      </w:pPr>
    </w:p>
    <w:p w14:paraId="38F7DF1A" w14:textId="77777777" w:rsidR="005256F2" w:rsidRPr="009062C9" w:rsidRDefault="005256F2" w:rsidP="007E7F5B">
      <w:pPr>
        <w:ind w:firstLine="284"/>
        <w:rPr>
          <w:color w:val="000000"/>
          <w:szCs w:val="20"/>
          <w:lang w:val="es-ES_tradnl"/>
        </w:rPr>
      </w:pPr>
    </w:p>
    <w:p w14:paraId="1836BEEA" w14:textId="3DBBDDF2" w:rsidR="00FD759E" w:rsidRDefault="007E7F5B" w:rsidP="005256F2">
      <w:pPr>
        <w:pStyle w:val="Ttulo1"/>
        <w:numPr>
          <w:ilvl w:val="0"/>
          <w:numId w:val="0"/>
        </w:numPr>
        <w:ind w:left="284" w:hanging="284"/>
      </w:pPr>
      <w:r>
        <w:t>Referencias</w:t>
      </w:r>
    </w:p>
    <w:p w14:paraId="6B3E51D9" w14:textId="77777777" w:rsidR="00B62032" w:rsidRPr="00B62032" w:rsidRDefault="00B62032" w:rsidP="00B62032">
      <w:pPr>
        <w:rPr>
          <w:lang w:val="es-ES_tradnl"/>
        </w:rPr>
      </w:pPr>
    </w:p>
    <w:p w14:paraId="4825631C" w14:textId="77777777" w:rsidR="00B62032" w:rsidRPr="00B62032" w:rsidRDefault="00B62032" w:rsidP="00B62032">
      <w:pPr>
        <w:pStyle w:val="Text"/>
        <w:numPr>
          <w:ilvl w:val="0"/>
          <w:numId w:val="12"/>
        </w:numPr>
        <w:spacing w:after="120" w:line="240" w:lineRule="auto"/>
        <w:rPr>
          <w:sz w:val="16"/>
          <w:szCs w:val="16"/>
        </w:rPr>
      </w:pPr>
      <w:r w:rsidRPr="00B62032">
        <w:rPr>
          <w:sz w:val="16"/>
          <w:szCs w:val="16"/>
        </w:rPr>
        <w:t xml:space="preserve">McGuire, R. (2014). The best MOOC provider: A review of Coursera, Udacity, and </w:t>
      </w:r>
      <w:proofErr w:type="spellStart"/>
      <w:r w:rsidRPr="00B62032">
        <w:rPr>
          <w:sz w:val="16"/>
          <w:szCs w:val="16"/>
        </w:rPr>
        <w:t>edX</w:t>
      </w:r>
      <w:proofErr w:type="spellEnd"/>
      <w:r w:rsidRPr="00B62032">
        <w:rPr>
          <w:sz w:val="16"/>
          <w:szCs w:val="16"/>
        </w:rPr>
        <w:t xml:space="preserve">. Retrieved from </w:t>
      </w:r>
      <w:hyperlink r:id="rId17" w:history="1">
        <w:r w:rsidRPr="00B62032">
          <w:rPr>
            <w:rStyle w:val="Hipervnculo"/>
            <w:rFonts w:eastAsiaTheme="majorEastAsia"/>
            <w:sz w:val="16"/>
            <w:szCs w:val="16"/>
          </w:rPr>
          <w:t>http://www.skilledup.com/blog/the-best-mooc-provider-a-review-of-coursera-udacity-and-edx/</w:t>
        </w:r>
      </w:hyperlink>
      <w:r w:rsidRPr="00B62032">
        <w:rPr>
          <w:sz w:val="16"/>
          <w:szCs w:val="16"/>
        </w:rPr>
        <w:t xml:space="preserve">  </w:t>
      </w:r>
    </w:p>
    <w:p w14:paraId="5D57FBBE" w14:textId="77777777" w:rsidR="00B62032" w:rsidRPr="00B62032" w:rsidRDefault="00B62032" w:rsidP="00B62032">
      <w:pPr>
        <w:pStyle w:val="Text"/>
        <w:numPr>
          <w:ilvl w:val="0"/>
          <w:numId w:val="12"/>
        </w:numPr>
        <w:spacing w:after="120" w:line="240" w:lineRule="auto"/>
        <w:rPr>
          <w:sz w:val="16"/>
          <w:szCs w:val="16"/>
          <w:lang w:val="es-CO"/>
        </w:rPr>
      </w:pPr>
      <w:proofErr w:type="spellStart"/>
      <w:r w:rsidRPr="00B62032">
        <w:rPr>
          <w:sz w:val="16"/>
          <w:szCs w:val="16"/>
          <w:lang w:val="es-CO"/>
        </w:rPr>
        <w:t>Mengual</w:t>
      </w:r>
      <w:proofErr w:type="spellEnd"/>
      <w:r w:rsidRPr="00B62032">
        <w:rPr>
          <w:sz w:val="16"/>
          <w:szCs w:val="16"/>
          <w:lang w:val="es-CO"/>
        </w:rPr>
        <w:t>-Andrés, S., Vázquez-Cano, E., &amp; Meneses, E. L. (2017). La productividad científica sobre MOOC: aproximación bibliométrica 2012-2016 a través de SCOPUS. RIED. Revista Iberoamericana de Educación a Distancia, 20(1), 39-58.</w:t>
      </w:r>
    </w:p>
    <w:p w14:paraId="136193C6" w14:textId="77777777" w:rsidR="00B62032" w:rsidRPr="00B62032" w:rsidRDefault="00B62032" w:rsidP="00B62032">
      <w:pPr>
        <w:numPr>
          <w:ilvl w:val="0"/>
          <w:numId w:val="12"/>
        </w:numPr>
        <w:autoSpaceDE w:val="0"/>
        <w:autoSpaceDN w:val="0"/>
        <w:spacing w:after="120"/>
        <w:jc w:val="left"/>
        <w:rPr>
          <w:sz w:val="16"/>
          <w:szCs w:val="16"/>
          <w:lang w:val="es-CO" w:eastAsia="es-CO"/>
        </w:rPr>
      </w:pPr>
      <w:r w:rsidRPr="00B62032">
        <w:rPr>
          <w:sz w:val="16"/>
          <w:szCs w:val="16"/>
          <w:lang w:val="es-CO" w:eastAsia="es-CO"/>
        </w:rPr>
        <w:t xml:space="preserve">Valverde </w:t>
      </w:r>
      <w:proofErr w:type="spellStart"/>
      <w:r w:rsidRPr="00B62032">
        <w:rPr>
          <w:sz w:val="16"/>
          <w:szCs w:val="16"/>
          <w:lang w:val="es-CO" w:eastAsia="es-CO"/>
        </w:rPr>
        <w:t>Berrocoso</w:t>
      </w:r>
      <w:proofErr w:type="spellEnd"/>
      <w:r w:rsidRPr="00B62032">
        <w:rPr>
          <w:sz w:val="16"/>
          <w:szCs w:val="16"/>
          <w:lang w:val="es-CO" w:eastAsia="es-CO"/>
        </w:rPr>
        <w:t xml:space="preserve">, J. (2014). </w:t>
      </w:r>
      <w:proofErr w:type="spellStart"/>
      <w:r w:rsidRPr="00B62032">
        <w:rPr>
          <w:sz w:val="16"/>
          <w:szCs w:val="16"/>
          <w:lang w:val="es-CO" w:eastAsia="es-CO"/>
        </w:rPr>
        <w:t>MOOCs</w:t>
      </w:r>
      <w:proofErr w:type="spellEnd"/>
      <w:r w:rsidRPr="00B62032">
        <w:rPr>
          <w:sz w:val="16"/>
          <w:szCs w:val="16"/>
          <w:lang w:val="es-CO" w:eastAsia="es-CO"/>
        </w:rPr>
        <w:t xml:space="preserve">: Una visión crítica desde las Ciencias de la Educación. </w:t>
      </w:r>
    </w:p>
    <w:p w14:paraId="216ECE0D" w14:textId="77777777" w:rsidR="00B62032" w:rsidRPr="00B62032" w:rsidRDefault="00B62032" w:rsidP="00B62032">
      <w:pPr>
        <w:pStyle w:val="Text"/>
        <w:numPr>
          <w:ilvl w:val="0"/>
          <w:numId w:val="12"/>
        </w:numPr>
        <w:spacing w:after="120" w:line="240" w:lineRule="auto"/>
        <w:rPr>
          <w:sz w:val="16"/>
          <w:szCs w:val="16"/>
          <w:lang w:val="es-CO" w:eastAsia="es-CO"/>
        </w:rPr>
      </w:pPr>
      <w:r w:rsidRPr="00B62032">
        <w:rPr>
          <w:sz w:val="16"/>
          <w:szCs w:val="16"/>
          <w:lang w:val="es-CO" w:eastAsia="es-CO"/>
        </w:rPr>
        <w:t xml:space="preserve">Rama, C. (2009). </w:t>
      </w:r>
      <w:proofErr w:type="spellStart"/>
      <w:r w:rsidRPr="00B62032">
        <w:rPr>
          <w:sz w:val="16"/>
          <w:szCs w:val="16"/>
          <w:lang w:val="es-CO" w:eastAsia="es-CO"/>
        </w:rPr>
        <w:t>Macrotendencias</w:t>
      </w:r>
      <w:proofErr w:type="spellEnd"/>
      <w:r w:rsidRPr="00B62032">
        <w:rPr>
          <w:sz w:val="16"/>
          <w:szCs w:val="16"/>
          <w:lang w:val="es-CO" w:eastAsia="es-CO"/>
        </w:rPr>
        <w:t xml:space="preserve"> y </w:t>
      </w:r>
      <w:proofErr w:type="spellStart"/>
      <w:r w:rsidRPr="00B62032">
        <w:rPr>
          <w:sz w:val="16"/>
          <w:szCs w:val="16"/>
          <w:lang w:val="es-CO" w:eastAsia="es-CO"/>
        </w:rPr>
        <w:t>Macrotensiones</w:t>
      </w:r>
      <w:proofErr w:type="spellEnd"/>
      <w:r w:rsidRPr="00B62032">
        <w:rPr>
          <w:sz w:val="16"/>
          <w:szCs w:val="16"/>
          <w:lang w:val="es-CO" w:eastAsia="es-CO"/>
        </w:rPr>
        <w:t xml:space="preserve">: Las encrucijadas de la educación superior en América Latina. </w:t>
      </w:r>
      <w:proofErr w:type="spellStart"/>
      <w:r w:rsidRPr="00B62032">
        <w:rPr>
          <w:i/>
          <w:iCs/>
          <w:sz w:val="16"/>
          <w:szCs w:val="16"/>
          <w:lang w:val="es-CO" w:eastAsia="es-CO"/>
        </w:rPr>
        <w:t>Policy</w:t>
      </w:r>
      <w:proofErr w:type="spellEnd"/>
      <w:r w:rsidRPr="00B62032">
        <w:rPr>
          <w:i/>
          <w:iCs/>
          <w:sz w:val="16"/>
          <w:szCs w:val="16"/>
          <w:lang w:val="es-CO" w:eastAsia="es-CO"/>
        </w:rPr>
        <w:t xml:space="preserve"> </w:t>
      </w:r>
      <w:proofErr w:type="spellStart"/>
      <w:r w:rsidRPr="00B62032">
        <w:rPr>
          <w:i/>
          <w:iCs/>
          <w:sz w:val="16"/>
          <w:szCs w:val="16"/>
          <w:lang w:val="es-CO" w:eastAsia="es-CO"/>
        </w:rPr>
        <w:t>Futures</w:t>
      </w:r>
      <w:proofErr w:type="spellEnd"/>
      <w:r w:rsidRPr="00B62032">
        <w:rPr>
          <w:i/>
          <w:iCs/>
          <w:sz w:val="16"/>
          <w:szCs w:val="16"/>
          <w:lang w:val="es-CO" w:eastAsia="es-CO"/>
        </w:rPr>
        <w:t xml:space="preserve"> in </w:t>
      </w:r>
      <w:proofErr w:type="spellStart"/>
      <w:r w:rsidRPr="00B62032">
        <w:rPr>
          <w:i/>
          <w:iCs/>
          <w:sz w:val="16"/>
          <w:szCs w:val="16"/>
          <w:lang w:val="es-CO" w:eastAsia="es-CO"/>
        </w:rPr>
        <w:t>Education</w:t>
      </w:r>
      <w:proofErr w:type="spellEnd"/>
      <w:r w:rsidRPr="00B62032">
        <w:rPr>
          <w:sz w:val="16"/>
          <w:szCs w:val="16"/>
          <w:lang w:val="es-CO" w:eastAsia="es-CO"/>
        </w:rPr>
        <w:t xml:space="preserve">, </w:t>
      </w:r>
      <w:r w:rsidRPr="00B62032">
        <w:rPr>
          <w:i/>
          <w:iCs/>
          <w:sz w:val="16"/>
          <w:szCs w:val="16"/>
          <w:lang w:val="es-CO" w:eastAsia="es-CO"/>
        </w:rPr>
        <w:t>7</w:t>
      </w:r>
      <w:r w:rsidRPr="00B62032">
        <w:rPr>
          <w:sz w:val="16"/>
          <w:szCs w:val="16"/>
          <w:lang w:val="es-CO" w:eastAsia="es-CO"/>
        </w:rPr>
        <w:t>(5), 463-472.</w:t>
      </w:r>
    </w:p>
    <w:p w14:paraId="32E38843" w14:textId="77777777" w:rsidR="00B62032" w:rsidRPr="00B62032" w:rsidRDefault="00B62032" w:rsidP="00B62032">
      <w:pPr>
        <w:numPr>
          <w:ilvl w:val="0"/>
          <w:numId w:val="12"/>
        </w:numPr>
        <w:autoSpaceDE w:val="0"/>
        <w:autoSpaceDN w:val="0"/>
        <w:spacing w:after="120"/>
        <w:jc w:val="left"/>
        <w:rPr>
          <w:sz w:val="16"/>
          <w:szCs w:val="16"/>
          <w:lang w:val="es-CO"/>
        </w:rPr>
      </w:pPr>
      <w:r w:rsidRPr="00B62032">
        <w:rPr>
          <w:sz w:val="16"/>
          <w:szCs w:val="16"/>
          <w:lang w:val="es-CO"/>
        </w:rPr>
        <w:t xml:space="preserve">UNESCO  (2009). Conferencia mundial de educación superior 2009: Las  Nuevas Dinámicas de la Educación Superior y de la Investigación para el Cambio Social y el Desarrollo. Consultado el 28 de enero 2017 </w:t>
      </w:r>
      <w:hyperlink r:id="rId18" w:history="1">
        <w:r w:rsidRPr="00B62032">
          <w:rPr>
            <w:rStyle w:val="Hipervnculo"/>
            <w:rFonts w:eastAsiaTheme="majorEastAsia"/>
            <w:sz w:val="16"/>
            <w:szCs w:val="16"/>
            <w:lang w:val="es-CO"/>
          </w:rPr>
          <w:t>http://www.unesco.org/education/WCHE2009/comunicado_es.pdf</w:t>
        </w:r>
      </w:hyperlink>
      <w:r w:rsidRPr="00B62032">
        <w:rPr>
          <w:sz w:val="16"/>
          <w:szCs w:val="16"/>
          <w:lang w:val="es-CO"/>
        </w:rPr>
        <w:t xml:space="preserve">  </w:t>
      </w:r>
    </w:p>
    <w:p w14:paraId="5DEF4D60" w14:textId="77777777" w:rsidR="00B62032" w:rsidRPr="00B62032" w:rsidRDefault="00B62032" w:rsidP="00B62032">
      <w:pPr>
        <w:pStyle w:val="Text"/>
        <w:numPr>
          <w:ilvl w:val="0"/>
          <w:numId w:val="12"/>
        </w:numPr>
        <w:spacing w:after="120" w:line="240" w:lineRule="auto"/>
        <w:rPr>
          <w:sz w:val="16"/>
          <w:szCs w:val="16"/>
          <w:lang w:val="es-CO"/>
        </w:rPr>
      </w:pPr>
      <w:r w:rsidRPr="00B62032">
        <w:rPr>
          <w:sz w:val="16"/>
          <w:szCs w:val="16"/>
          <w:lang w:val="es-CO"/>
        </w:rPr>
        <w:t xml:space="preserve">Cabero Almenara, J., Llorente Cejudo, M. D. C., &amp; Vázquez Martínez, A. I. (2014). Las tipologías de MOOC: su diseño e implicaciones educativas.  </w:t>
      </w:r>
    </w:p>
    <w:p w14:paraId="40785050" w14:textId="77777777" w:rsidR="00B62032" w:rsidRPr="00B62032" w:rsidRDefault="00B62032" w:rsidP="00B62032">
      <w:pPr>
        <w:pStyle w:val="Text"/>
        <w:numPr>
          <w:ilvl w:val="0"/>
          <w:numId w:val="12"/>
        </w:numPr>
        <w:spacing w:after="120" w:line="240" w:lineRule="auto"/>
        <w:rPr>
          <w:sz w:val="16"/>
          <w:szCs w:val="16"/>
          <w:lang w:val="es-CO"/>
        </w:rPr>
      </w:pPr>
      <w:r w:rsidRPr="00B62032">
        <w:rPr>
          <w:sz w:val="16"/>
          <w:szCs w:val="16"/>
          <w:lang w:val="es-CO"/>
        </w:rPr>
        <w:t xml:space="preserve">García Aretio, L. (2015). ¿...y antes de los </w:t>
      </w:r>
      <w:proofErr w:type="gramStart"/>
      <w:r w:rsidRPr="00B62032">
        <w:rPr>
          <w:sz w:val="16"/>
          <w:szCs w:val="16"/>
          <w:lang w:val="es-CO"/>
        </w:rPr>
        <w:t>MOOC?.</w:t>
      </w:r>
      <w:proofErr w:type="gramEnd"/>
      <w:r w:rsidRPr="00B62032">
        <w:rPr>
          <w:sz w:val="16"/>
          <w:szCs w:val="16"/>
          <w:lang w:val="es-CO"/>
        </w:rPr>
        <w:t xml:space="preserve"> Revista </w:t>
      </w:r>
      <w:proofErr w:type="spellStart"/>
      <w:r w:rsidRPr="00B62032">
        <w:rPr>
          <w:sz w:val="16"/>
          <w:szCs w:val="16"/>
          <w:lang w:val="es-CO"/>
        </w:rPr>
        <w:t>EspañOla</w:t>
      </w:r>
      <w:proofErr w:type="spellEnd"/>
      <w:r w:rsidRPr="00B62032">
        <w:rPr>
          <w:sz w:val="16"/>
          <w:szCs w:val="16"/>
          <w:lang w:val="es-CO"/>
        </w:rPr>
        <w:t xml:space="preserve"> De </w:t>
      </w:r>
      <w:proofErr w:type="spellStart"/>
      <w:r w:rsidRPr="00B62032">
        <w:rPr>
          <w:sz w:val="16"/>
          <w:szCs w:val="16"/>
          <w:lang w:val="es-CO"/>
        </w:rPr>
        <w:t>EducacióN</w:t>
      </w:r>
      <w:proofErr w:type="spellEnd"/>
      <w:r w:rsidRPr="00B62032">
        <w:rPr>
          <w:sz w:val="16"/>
          <w:szCs w:val="16"/>
          <w:lang w:val="es-CO"/>
        </w:rPr>
        <w:t xml:space="preserve"> Comparada, 0(26), 97-115. </w:t>
      </w:r>
      <w:proofErr w:type="spellStart"/>
      <w:r w:rsidRPr="00B62032">
        <w:rPr>
          <w:sz w:val="16"/>
          <w:szCs w:val="16"/>
          <w:lang w:val="es-CO"/>
        </w:rPr>
        <w:t>doi:http</w:t>
      </w:r>
      <w:proofErr w:type="spellEnd"/>
      <w:r w:rsidRPr="00B62032">
        <w:rPr>
          <w:sz w:val="16"/>
          <w:szCs w:val="16"/>
          <w:lang w:val="es-CO"/>
        </w:rPr>
        <w:t xml:space="preserve">://dx.doi.org/10.5944/reec.26.2015.14483  </w:t>
      </w:r>
    </w:p>
    <w:p w14:paraId="62ADF13D" w14:textId="77777777" w:rsidR="00B62032" w:rsidRPr="00B62032" w:rsidRDefault="00B62032" w:rsidP="00B62032">
      <w:pPr>
        <w:pStyle w:val="Text"/>
        <w:numPr>
          <w:ilvl w:val="0"/>
          <w:numId w:val="12"/>
        </w:numPr>
        <w:spacing w:after="120" w:line="240" w:lineRule="auto"/>
        <w:rPr>
          <w:sz w:val="16"/>
          <w:szCs w:val="16"/>
          <w:lang w:val="es-CO"/>
        </w:rPr>
      </w:pPr>
      <w:r w:rsidRPr="00B62032">
        <w:rPr>
          <w:sz w:val="16"/>
          <w:szCs w:val="16"/>
        </w:rPr>
        <w:t xml:space="preserve">Evans, S., &amp; Myrick, J. G. (2015). How MOOC instructors view the pedagogy and purposes of massive open online courses. </w:t>
      </w:r>
      <w:proofErr w:type="spellStart"/>
      <w:r w:rsidRPr="00B62032">
        <w:rPr>
          <w:sz w:val="16"/>
          <w:szCs w:val="16"/>
          <w:lang w:val="es-CO"/>
        </w:rPr>
        <w:t>Distance</w:t>
      </w:r>
      <w:proofErr w:type="spellEnd"/>
      <w:r w:rsidRPr="00B62032">
        <w:rPr>
          <w:sz w:val="16"/>
          <w:szCs w:val="16"/>
          <w:lang w:val="es-CO"/>
        </w:rPr>
        <w:t xml:space="preserve"> </w:t>
      </w:r>
      <w:proofErr w:type="spellStart"/>
      <w:r w:rsidRPr="00B62032">
        <w:rPr>
          <w:sz w:val="16"/>
          <w:szCs w:val="16"/>
          <w:lang w:val="es-CO"/>
        </w:rPr>
        <w:t>Education</w:t>
      </w:r>
      <w:proofErr w:type="spellEnd"/>
      <w:r w:rsidRPr="00B62032">
        <w:rPr>
          <w:sz w:val="16"/>
          <w:szCs w:val="16"/>
          <w:lang w:val="es-CO"/>
        </w:rPr>
        <w:t xml:space="preserve">, 36(3), 295-311. doi:10.1080/01587919.2015.1081736  </w:t>
      </w:r>
    </w:p>
    <w:p w14:paraId="460CABBE" w14:textId="77777777" w:rsidR="00B62032" w:rsidRPr="00B62032" w:rsidRDefault="00B62032" w:rsidP="00B62032">
      <w:pPr>
        <w:pStyle w:val="Text"/>
        <w:numPr>
          <w:ilvl w:val="0"/>
          <w:numId w:val="12"/>
        </w:numPr>
        <w:spacing w:after="120" w:line="240" w:lineRule="auto"/>
        <w:rPr>
          <w:sz w:val="16"/>
          <w:szCs w:val="16"/>
        </w:rPr>
      </w:pPr>
      <w:r w:rsidRPr="00B62032">
        <w:rPr>
          <w:sz w:val="16"/>
          <w:szCs w:val="16"/>
        </w:rPr>
        <w:t xml:space="preserve">Siemens, G. (2014). Connectivism: </w:t>
      </w:r>
      <w:r w:rsidRPr="00B62032">
        <w:rPr>
          <w:i/>
          <w:sz w:val="16"/>
          <w:szCs w:val="16"/>
        </w:rPr>
        <w:t>A learning theory for the digital age</w:t>
      </w:r>
      <w:r w:rsidRPr="00B62032">
        <w:rPr>
          <w:sz w:val="16"/>
          <w:szCs w:val="16"/>
        </w:rPr>
        <w:t xml:space="preserve">. Retrieved from </w:t>
      </w:r>
      <w:hyperlink r:id="rId19" w:history="1">
        <w:r w:rsidRPr="00B62032">
          <w:rPr>
            <w:rStyle w:val="Hipervnculo"/>
            <w:rFonts w:eastAsiaTheme="majorEastAsia"/>
            <w:sz w:val="16"/>
            <w:szCs w:val="16"/>
          </w:rPr>
          <w:t>http://www.itdl.org/journal/jan_05/article01.htm</w:t>
        </w:r>
      </w:hyperlink>
      <w:r w:rsidRPr="00B62032">
        <w:rPr>
          <w:sz w:val="16"/>
          <w:szCs w:val="16"/>
        </w:rPr>
        <w:t xml:space="preserve">  </w:t>
      </w:r>
    </w:p>
    <w:p w14:paraId="6F257827" w14:textId="77777777" w:rsidR="00B62032" w:rsidRPr="00B62032" w:rsidRDefault="00B62032" w:rsidP="00B62032">
      <w:pPr>
        <w:numPr>
          <w:ilvl w:val="0"/>
          <w:numId w:val="12"/>
        </w:numPr>
        <w:autoSpaceDE w:val="0"/>
        <w:autoSpaceDN w:val="0"/>
        <w:spacing w:after="120"/>
        <w:jc w:val="left"/>
        <w:rPr>
          <w:sz w:val="16"/>
          <w:szCs w:val="16"/>
          <w:lang w:val="en-US"/>
        </w:rPr>
      </w:pPr>
      <w:r w:rsidRPr="00B62032">
        <w:rPr>
          <w:sz w:val="16"/>
          <w:szCs w:val="16"/>
          <w:lang w:val="en-US"/>
        </w:rPr>
        <w:t xml:space="preserve">Yousef, A. M. F., </w:t>
      </w:r>
      <w:proofErr w:type="spellStart"/>
      <w:r w:rsidRPr="00B62032">
        <w:rPr>
          <w:sz w:val="16"/>
          <w:szCs w:val="16"/>
          <w:lang w:val="en-US"/>
        </w:rPr>
        <w:t>Chatti</w:t>
      </w:r>
      <w:proofErr w:type="spellEnd"/>
      <w:r w:rsidRPr="00B62032">
        <w:rPr>
          <w:sz w:val="16"/>
          <w:szCs w:val="16"/>
          <w:lang w:val="en-US"/>
        </w:rPr>
        <w:t xml:space="preserve">, M. A., </w:t>
      </w:r>
      <w:proofErr w:type="spellStart"/>
      <w:r w:rsidRPr="00B62032">
        <w:rPr>
          <w:sz w:val="16"/>
          <w:szCs w:val="16"/>
          <w:lang w:val="en-US"/>
        </w:rPr>
        <w:t>Wosnitza</w:t>
      </w:r>
      <w:proofErr w:type="spellEnd"/>
      <w:r w:rsidRPr="00B62032">
        <w:rPr>
          <w:sz w:val="16"/>
          <w:szCs w:val="16"/>
          <w:lang w:val="en-US"/>
        </w:rPr>
        <w:t xml:space="preserve">, M., &amp; Schroeder, U. (2015). A Cluster Analysis of MOOC Stakeholder Perspectives. </w:t>
      </w:r>
      <w:r w:rsidRPr="00B62032">
        <w:rPr>
          <w:i/>
          <w:iCs/>
          <w:sz w:val="16"/>
          <w:szCs w:val="16"/>
          <w:lang w:val="en-US"/>
        </w:rPr>
        <w:t>RUSC. Universities and Knowledge Society Journal, 12</w:t>
      </w:r>
      <w:r w:rsidRPr="00B62032">
        <w:rPr>
          <w:sz w:val="16"/>
          <w:szCs w:val="16"/>
          <w:lang w:val="en-US"/>
        </w:rPr>
        <w:t xml:space="preserve">(1). pp. 74-90. </w:t>
      </w:r>
      <w:proofErr w:type="spellStart"/>
      <w:r w:rsidRPr="00B62032">
        <w:rPr>
          <w:sz w:val="16"/>
          <w:szCs w:val="16"/>
          <w:lang w:val="en-US"/>
        </w:rPr>
        <w:t>doi</w:t>
      </w:r>
      <w:proofErr w:type="spellEnd"/>
      <w:r w:rsidRPr="00B62032">
        <w:rPr>
          <w:sz w:val="16"/>
          <w:szCs w:val="16"/>
          <w:lang w:val="en-US"/>
        </w:rPr>
        <w:t xml:space="preserve"> </w:t>
      </w:r>
      <w:hyperlink r:id="rId20" w:history="1">
        <w:r w:rsidRPr="00B62032">
          <w:rPr>
            <w:rStyle w:val="Hipervnculo"/>
            <w:rFonts w:eastAsiaTheme="majorEastAsia"/>
            <w:sz w:val="16"/>
            <w:szCs w:val="16"/>
            <w:lang w:val="en-US"/>
          </w:rPr>
          <w:t>http://dx.doi.org/10.7238/rusc.v12i1.2253</w:t>
        </w:r>
      </w:hyperlink>
      <w:r w:rsidRPr="00B62032">
        <w:rPr>
          <w:sz w:val="16"/>
          <w:szCs w:val="16"/>
          <w:lang w:val="en-US"/>
        </w:rPr>
        <w:t xml:space="preserve">  </w:t>
      </w:r>
    </w:p>
    <w:p w14:paraId="0B7F7219" w14:textId="77777777" w:rsidR="00B62032" w:rsidRPr="00B62032" w:rsidRDefault="00B62032" w:rsidP="00B62032">
      <w:pPr>
        <w:numPr>
          <w:ilvl w:val="0"/>
          <w:numId w:val="12"/>
        </w:numPr>
        <w:autoSpaceDE w:val="0"/>
        <w:autoSpaceDN w:val="0"/>
        <w:spacing w:after="120"/>
        <w:jc w:val="left"/>
        <w:rPr>
          <w:sz w:val="16"/>
          <w:szCs w:val="16"/>
          <w:lang w:val="es-CO"/>
        </w:rPr>
      </w:pPr>
      <w:proofErr w:type="spellStart"/>
      <w:r w:rsidRPr="00B62032">
        <w:rPr>
          <w:sz w:val="16"/>
          <w:szCs w:val="16"/>
          <w:lang w:val="en-US"/>
        </w:rPr>
        <w:t>EdX</w:t>
      </w:r>
      <w:proofErr w:type="spellEnd"/>
      <w:r w:rsidRPr="00B62032">
        <w:rPr>
          <w:sz w:val="16"/>
          <w:szCs w:val="16"/>
          <w:lang w:val="en-US"/>
        </w:rPr>
        <w:t xml:space="preserve"> Quality education for everyone, everywhere. </w:t>
      </w:r>
      <w:r w:rsidRPr="00B62032">
        <w:rPr>
          <w:sz w:val="16"/>
          <w:szCs w:val="16"/>
          <w:lang w:val="es-CO"/>
        </w:rPr>
        <w:t xml:space="preserve">(2016). </w:t>
      </w:r>
      <w:proofErr w:type="spellStart"/>
      <w:r w:rsidRPr="00B62032">
        <w:rPr>
          <w:sz w:val="16"/>
          <w:szCs w:val="16"/>
          <w:lang w:val="es-CO"/>
        </w:rPr>
        <w:t>EdX</w:t>
      </w:r>
      <w:proofErr w:type="spellEnd"/>
      <w:r w:rsidRPr="00B62032">
        <w:rPr>
          <w:sz w:val="16"/>
          <w:szCs w:val="16"/>
          <w:lang w:val="es-CO"/>
        </w:rPr>
        <w:t xml:space="preserve">. Recuperado de: </w:t>
      </w:r>
      <w:hyperlink r:id="rId21" w:history="1">
        <w:r w:rsidRPr="00B62032">
          <w:rPr>
            <w:rStyle w:val="Hipervnculo"/>
            <w:rFonts w:eastAsiaTheme="majorEastAsia"/>
            <w:sz w:val="16"/>
            <w:szCs w:val="16"/>
            <w:lang w:val="es-CO"/>
          </w:rPr>
          <w:t>https://www.edx.org/about-us</w:t>
        </w:r>
      </w:hyperlink>
      <w:r w:rsidRPr="00B62032">
        <w:rPr>
          <w:sz w:val="16"/>
          <w:szCs w:val="16"/>
          <w:lang w:val="es-CO"/>
        </w:rPr>
        <w:t xml:space="preserve">  </w:t>
      </w:r>
    </w:p>
    <w:p w14:paraId="3348DB5C" w14:textId="77777777" w:rsidR="00B62032" w:rsidRPr="00B62032" w:rsidRDefault="00B62032" w:rsidP="00B62032">
      <w:pPr>
        <w:numPr>
          <w:ilvl w:val="0"/>
          <w:numId w:val="12"/>
        </w:numPr>
        <w:autoSpaceDE w:val="0"/>
        <w:autoSpaceDN w:val="0"/>
        <w:spacing w:after="120"/>
        <w:jc w:val="left"/>
        <w:rPr>
          <w:sz w:val="16"/>
          <w:szCs w:val="16"/>
          <w:lang w:val="es-CO"/>
        </w:rPr>
      </w:pPr>
      <w:r w:rsidRPr="00B62032">
        <w:rPr>
          <w:sz w:val="16"/>
          <w:szCs w:val="16"/>
          <w:lang w:val="es-CO" w:eastAsia="es-CO"/>
        </w:rPr>
        <w:t xml:space="preserve">Ruiz Martín, P. (2013). Presente y futuro de los </w:t>
      </w:r>
      <w:proofErr w:type="spellStart"/>
      <w:r w:rsidRPr="00B62032">
        <w:rPr>
          <w:sz w:val="16"/>
          <w:szCs w:val="16"/>
          <w:lang w:val="es-CO" w:eastAsia="es-CO"/>
        </w:rPr>
        <w:t>Massive</w:t>
      </w:r>
      <w:proofErr w:type="spellEnd"/>
      <w:r w:rsidRPr="00B62032">
        <w:rPr>
          <w:sz w:val="16"/>
          <w:szCs w:val="16"/>
          <w:lang w:val="es-CO" w:eastAsia="es-CO"/>
        </w:rPr>
        <w:t xml:space="preserve"> Open Online </w:t>
      </w:r>
      <w:proofErr w:type="spellStart"/>
      <w:r w:rsidRPr="00B62032">
        <w:rPr>
          <w:sz w:val="16"/>
          <w:szCs w:val="16"/>
          <w:lang w:val="es-CO" w:eastAsia="es-CO"/>
        </w:rPr>
        <w:t>Courses</w:t>
      </w:r>
      <w:proofErr w:type="spellEnd"/>
      <w:r w:rsidRPr="00B62032">
        <w:rPr>
          <w:sz w:val="16"/>
          <w:szCs w:val="16"/>
          <w:lang w:val="es-CO" w:eastAsia="es-CO"/>
        </w:rPr>
        <w:t xml:space="preserve"> (MOOC): Análisis de la oferta completa de cursos de las plataformas Coursera, </w:t>
      </w:r>
      <w:proofErr w:type="spellStart"/>
      <w:r w:rsidRPr="00B62032">
        <w:rPr>
          <w:sz w:val="16"/>
          <w:szCs w:val="16"/>
          <w:lang w:val="es-CO" w:eastAsia="es-CO"/>
        </w:rPr>
        <w:t>EdX</w:t>
      </w:r>
      <w:proofErr w:type="spellEnd"/>
      <w:r w:rsidRPr="00B62032">
        <w:rPr>
          <w:sz w:val="16"/>
          <w:szCs w:val="16"/>
          <w:lang w:val="es-CO" w:eastAsia="es-CO"/>
        </w:rPr>
        <w:t xml:space="preserve">, Miríada X y </w:t>
      </w:r>
      <w:proofErr w:type="spellStart"/>
      <w:r w:rsidRPr="00B62032">
        <w:rPr>
          <w:sz w:val="16"/>
          <w:szCs w:val="16"/>
          <w:lang w:val="es-CO" w:eastAsia="es-CO"/>
        </w:rPr>
        <w:t>Udacity</w:t>
      </w:r>
      <w:proofErr w:type="spellEnd"/>
      <w:r w:rsidRPr="00B62032">
        <w:rPr>
          <w:sz w:val="16"/>
          <w:szCs w:val="16"/>
          <w:lang w:val="es-CO" w:eastAsia="es-CO"/>
        </w:rPr>
        <w:t xml:space="preserve">. </w:t>
      </w:r>
    </w:p>
    <w:p w14:paraId="0D142DB2" w14:textId="77777777" w:rsidR="00B62032" w:rsidRPr="00B62032" w:rsidRDefault="00B62032" w:rsidP="00B62032">
      <w:pPr>
        <w:pStyle w:val="Text"/>
        <w:numPr>
          <w:ilvl w:val="0"/>
          <w:numId w:val="12"/>
        </w:numPr>
        <w:spacing w:after="120" w:line="240" w:lineRule="auto"/>
        <w:rPr>
          <w:sz w:val="16"/>
          <w:szCs w:val="16"/>
          <w:lang w:val="es-CO"/>
        </w:rPr>
      </w:pPr>
      <w:r w:rsidRPr="00B62032">
        <w:rPr>
          <w:sz w:val="16"/>
          <w:szCs w:val="16"/>
          <w:lang w:val="es-CO"/>
        </w:rPr>
        <w:lastRenderedPageBreak/>
        <w:t xml:space="preserve">Medina-Salguero, R., &amp; </w:t>
      </w:r>
      <w:proofErr w:type="spellStart"/>
      <w:r w:rsidRPr="00B62032">
        <w:rPr>
          <w:sz w:val="16"/>
          <w:szCs w:val="16"/>
          <w:lang w:val="es-CO"/>
        </w:rPr>
        <w:t>Aguaded</w:t>
      </w:r>
      <w:proofErr w:type="spellEnd"/>
      <w:r w:rsidRPr="00B62032">
        <w:rPr>
          <w:sz w:val="16"/>
          <w:szCs w:val="16"/>
          <w:lang w:val="es-CO"/>
        </w:rPr>
        <w:t xml:space="preserve">, I. (2014). Los MOOC en la plataforma educativa </w:t>
      </w:r>
      <w:proofErr w:type="spellStart"/>
      <w:r w:rsidRPr="00B62032">
        <w:rPr>
          <w:sz w:val="16"/>
          <w:szCs w:val="16"/>
          <w:lang w:val="es-CO"/>
        </w:rPr>
        <w:t>MiriadaX</w:t>
      </w:r>
      <w:proofErr w:type="spellEnd"/>
      <w:r w:rsidRPr="00B62032">
        <w:rPr>
          <w:sz w:val="16"/>
          <w:szCs w:val="16"/>
          <w:lang w:val="es-CO"/>
        </w:rPr>
        <w:t xml:space="preserve">. </w:t>
      </w:r>
    </w:p>
    <w:p w14:paraId="5A29ADE6" w14:textId="77777777" w:rsidR="00B62032" w:rsidRPr="00B62032" w:rsidRDefault="00B62032" w:rsidP="00B62032">
      <w:pPr>
        <w:pStyle w:val="Text"/>
        <w:numPr>
          <w:ilvl w:val="0"/>
          <w:numId w:val="12"/>
        </w:numPr>
        <w:spacing w:after="120" w:line="240" w:lineRule="auto"/>
        <w:rPr>
          <w:sz w:val="16"/>
          <w:szCs w:val="16"/>
          <w:lang w:val="es-CO"/>
        </w:rPr>
      </w:pPr>
      <w:r w:rsidRPr="00B62032">
        <w:rPr>
          <w:sz w:val="16"/>
          <w:szCs w:val="16"/>
          <w:lang w:val="es-CO"/>
        </w:rPr>
        <w:t xml:space="preserve">Ruiz Bolívar, C. (2016). El </w:t>
      </w:r>
      <w:proofErr w:type="gramStart"/>
      <w:r w:rsidRPr="00B62032">
        <w:rPr>
          <w:sz w:val="16"/>
          <w:szCs w:val="16"/>
          <w:lang w:val="es-CO"/>
        </w:rPr>
        <w:t>MOOC:¿</w:t>
      </w:r>
      <w:proofErr w:type="gramEnd"/>
      <w:r w:rsidRPr="00B62032">
        <w:rPr>
          <w:sz w:val="16"/>
          <w:szCs w:val="16"/>
          <w:lang w:val="es-CO"/>
        </w:rPr>
        <w:t xml:space="preserve"> un modelo alternativo para la educación universitaria?. Apertura (Guadalajara, Jal.), 7(2), 86-100</w:t>
      </w:r>
    </w:p>
    <w:p w14:paraId="0C013F27" w14:textId="77777777" w:rsidR="00B62032" w:rsidRPr="00B62032" w:rsidRDefault="00B62032" w:rsidP="00B62032">
      <w:pPr>
        <w:numPr>
          <w:ilvl w:val="0"/>
          <w:numId w:val="12"/>
        </w:numPr>
        <w:autoSpaceDE w:val="0"/>
        <w:autoSpaceDN w:val="0"/>
        <w:spacing w:after="120"/>
        <w:jc w:val="left"/>
        <w:rPr>
          <w:sz w:val="16"/>
          <w:szCs w:val="16"/>
          <w:lang w:val="es-CO"/>
        </w:rPr>
      </w:pPr>
      <w:r w:rsidRPr="00B62032">
        <w:rPr>
          <w:sz w:val="16"/>
          <w:szCs w:val="16"/>
          <w:lang w:val="es-CO"/>
        </w:rPr>
        <w:t>Hernández, R., Fernández, C. &amp; Baptista, P. (2006). Metodología de la Investigación. México: Mc Graw Hill.</w:t>
      </w:r>
    </w:p>
    <w:p w14:paraId="26E0728B" w14:textId="77777777" w:rsidR="00B62032" w:rsidRPr="00B62032" w:rsidRDefault="00B62032" w:rsidP="00B62032">
      <w:pPr>
        <w:pStyle w:val="Text"/>
        <w:numPr>
          <w:ilvl w:val="0"/>
          <w:numId w:val="12"/>
        </w:numPr>
        <w:spacing w:after="120" w:line="240" w:lineRule="auto"/>
        <w:rPr>
          <w:sz w:val="16"/>
          <w:szCs w:val="16"/>
        </w:rPr>
      </w:pPr>
      <w:r w:rsidRPr="00B62032">
        <w:rPr>
          <w:sz w:val="16"/>
          <w:szCs w:val="16"/>
        </w:rPr>
        <w:t>Hill, P. (2013). Emerging student patterns in MOOCs: A (revised) graphical view. e-Literate. URL: http://mfeldstein. com/</w:t>
      </w:r>
      <w:proofErr w:type="spellStart"/>
      <w:r w:rsidRPr="00B62032">
        <w:rPr>
          <w:sz w:val="16"/>
          <w:szCs w:val="16"/>
        </w:rPr>
        <w:t>emerging_student_patterns_in_moocs_graphical_view</w:t>
      </w:r>
      <w:proofErr w:type="spellEnd"/>
      <w:r w:rsidRPr="00B62032">
        <w:rPr>
          <w:sz w:val="16"/>
          <w:szCs w:val="16"/>
        </w:rPr>
        <w:t xml:space="preserve">. </w:t>
      </w:r>
    </w:p>
    <w:p w14:paraId="0B96FAE4" w14:textId="77777777" w:rsidR="00B62032" w:rsidRPr="00B62032" w:rsidRDefault="00B62032" w:rsidP="00B62032">
      <w:pPr>
        <w:pStyle w:val="Text"/>
        <w:numPr>
          <w:ilvl w:val="0"/>
          <w:numId w:val="12"/>
        </w:numPr>
        <w:spacing w:after="120" w:line="240" w:lineRule="auto"/>
        <w:rPr>
          <w:sz w:val="16"/>
          <w:szCs w:val="16"/>
          <w:lang w:val="es-CO"/>
        </w:rPr>
      </w:pPr>
      <w:r w:rsidRPr="00B62032">
        <w:rPr>
          <w:sz w:val="16"/>
          <w:szCs w:val="16"/>
        </w:rPr>
        <w:t xml:space="preserve">Linden, A., &amp; Fenn, J. (2003). Understanding Gartner’s hype cycles. </w:t>
      </w:r>
      <w:proofErr w:type="spellStart"/>
      <w:r w:rsidRPr="00B62032">
        <w:rPr>
          <w:sz w:val="16"/>
          <w:szCs w:val="16"/>
          <w:lang w:val="es-CO"/>
        </w:rPr>
        <w:t>Strategic</w:t>
      </w:r>
      <w:proofErr w:type="spellEnd"/>
      <w:r w:rsidRPr="00B62032">
        <w:rPr>
          <w:sz w:val="16"/>
          <w:szCs w:val="16"/>
          <w:lang w:val="es-CO"/>
        </w:rPr>
        <w:t xml:space="preserve"> </w:t>
      </w:r>
      <w:proofErr w:type="spellStart"/>
      <w:r w:rsidRPr="00B62032">
        <w:rPr>
          <w:sz w:val="16"/>
          <w:szCs w:val="16"/>
          <w:lang w:val="es-CO"/>
        </w:rPr>
        <w:t>Analysis</w:t>
      </w:r>
      <w:proofErr w:type="spellEnd"/>
      <w:r w:rsidRPr="00B62032">
        <w:rPr>
          <w:sz w:val="16"/>
          <w:szCs w:val="16"/>
          <w:lang w:val="es-CO"/>
        </w:rPr>
        <w:t xml:space="preserve"> </w:t>
      </w:r>
      <w:proofErr w:type="spellStart"/>
      <w:r w:rsidRPr="00B62032">
        <w:rPr>
          <w:sz w:val="16"/>
          <w:szCs w:val="16"/>
          <w:lang w:val="es-CO"/>
        </w:rPr>
        <w:t>Report</w:t>
      </w:r>
      <w:proofErr w:type="spellEnd"/>
      <w:r w:rsidRPr="00B62032">
        <w:rPr>
          <w:sz w:val="16"/>
          <w:szCs w:val="16"/>
          <w:lang w:val="es-CO"/>
        </w:rPr>
        <w:t xml:space="preserve"> </w:t>
      </w:r>
      <w:proofErr w:type="spellStart"/>
      <w:r w:rsidRPr="00B62032">
        <w:rPr>
          <w:sz w:val="16"/>
          <w:szCs w:val="16"/>
          <w:lang w:val="es-CO"/>
        </w:rPr>
        <w:t>Nº</w:t>
      </w:r>
      <w:proofErr w:type="spellEnd"/>
      <w:r w:rsidRPr="00B62032">
        <w:rPr>
          <w:sz w:val="16"/>
          <w:szCs w:val="16"/>
          <w:lang w:val="es-CO"/>
        </w:rPr>
        <w:t xml:space="preserve"> R-20-1971. Gartner, Inc.</w:t>
      </w:r>
    </w:p>
    <w:p w14:paraId="3A23BFBD" w14:textId="77777777" w:rsidR="00B62032" w:rsidRPr="00B62032" w:rsidRDefault="00B62032" w:rsidP="00B62032">
      <w:pPr>
        <w:pStyle w:val="Text"/>
        <w:numPr>
          <w:ilvl w:val="0"/>
          <w:numId w:val="12"/>
        </w:numPr>
        <w:spacing w:after="120"/>
        <w:rPr>
          <w:sz w:val="16"/>
          <w:szCs w:val="16"/>
          <w:lang w:val="es-CO"/>
        </w:rPr>
      </w:pPr>
      <w:r w:rsidRPr="00B62032">
        <w:rPr>
          <w:sz w:val="16"/>
          <w:szCs w:val="16"/>
          <w:lang w:val="es-CO"/>
        </w:rPr>
        <w:t xml:space="preserve">Cabero Almenara, J. C. (2015). Visiones educativas sobre los MOOC/ </w:t>
      </w:r>
      <w:proofErr w:type="spellStart"/>
      <w:r w:rsidRPr="00B62032">
        <w:rPr>
          <w:sz w:val="16"/>
          <w:szCs w:val="16"/>
          <w:lang w:val="es-CO"/>
        </w:rPr>
        <w:t>Educational</w:t>
      </w:r>
      <w:proofErr w:type="spellEnd"/>
      <w:r w:rsidRPr="00B62032">
        <w:rPr>
          <w:sz w:val="16"/>
          <w:szCs w:val="16"/>
          <w:lang w:val="es-CO"/>
        </w:rPr>
        <w:t xml:space="preserve"> </w:t>
      </w:r>
      <w:proofErr w:type="spellStart"/>
      <w:r w:rsidRPr="00B62032">
        <w:rPr>
          <w:sz w:val="16"/>
          <w:szCs w:val="16"/>
          <w:lang w:val="es-CO"/>
        </w:rPr>
        <w:t>visions</w:t>
      </w:r>
      <w:proofErr w:type="spellEnd"/>
      <w:r w:rsidRPr="00B62032">
        <w:rPr>
          <w:sz w:val="16"/>
          <w:szCs w:val="16"/>
          <w:lang w:val="es-CO"/>
        </w:rPr>
        <w:t xml:space="preserve"> </w:t>
      </w:r>
      <w:proofErr w:type="spellStart"/>
      <w:r w:rsidRPr="00B62032">
        <w:rPr>
          <w:sz w:val="16"/>
          <w:szCs w:val="16"/>
          <w:lang w:val="es-CO"/>
        </w:rPr>
        <w:t>of</w:t>
      </w:r>
      <w:proofErr w:type="spellEnd"/>
      <w:r w:rsidRPr="00B62032">
        <w:rPr>
          <w:sz w:val="16"/>
          <w:szCs w:val="16"/>
          <w:lang w:val="es-CO"/>
        </w:rPr>
        <w:t xml:space="preserve"> MOOC. Revista Iberoamericana de Educación a Distancia, 18(2), 39.</w:t>
      </w:r>
    </w:p>
    <w:p w14:paraId="087F975F" w14:textId="77777777" w:rsidR="00B62032" w:rsidRPr="00B62032" w:rsidRDefault="00B62032" w:rsidP="00B62032">
      <w:pPr>
        <w:pStyle w:val="Text"/>
        <w:numPr>
          <w:ilvl w:val="0"/>
          <w:numId w:val="12"/>
        </w:numPr>
        <w:spacing w:after="120" w:line="240" w:lineRule="auto"/>
        <w:rPr>
          <w:sz w:val="16"/>
          <w:szCs w:val="16"/>
          <w:lang w:val="es-CO"/>
        </w:rPr>
      </w:pPr>
      <w:r w:rsidRPr="00B62032">
        <w:rPr>
          <w:sz w:val="16"/>
          <w:szCs w:val="16"/>
        </w:rPr>
        <w:t xml:space="preserve">Shaw, C. (2012). </w:t>
      </w:r>
      <w:proofErr w:type="spellStart"/>
      <w:r w:rsidRPr="00B62032">
        <w:rPr>
          <w:sz w:val="16"/>
          <w:szCs w:val="16"/>
        </w:rPr>
        <w:t>FutureLearn</w:t>
      </w:r>
      <w:proofErr w:type="spellEnd"/>
      <w:r w:rsidRPr="00B62032">
        <w:rPr>
          <w:sz w:val="16"/>
          <w:szCs w:val="16"/>
        </w:rPr>
        <w:t xml:space="preserve"> is UK's chance </w:t>
      </w:r>
      <w:proofErr w:type="spellStart"/>
      <w:r w:rsidRPr="00B62032">
        <w:rPr>
          <w:sz w:val="16"/>
          <w:szCs w:val="16"/>
        </w:rPr>
        <w:t>to'fight</w:t>
      </w:r>
      <w:proofErr w:type="spellEnd"/>
      <w:r w:rsidRPr="00B62032">
        <w:rPr>
          <w:sz w:val="16"/>
          <w:szCs w:val="16"/>
        </w:rPr>
        <w:t xml:space="preserve"> back', says OU vice-chancellor. </w:t>
      </w:r>
      <w:proofErr w:type="spellStart"/>
      <w:r w:rsidRPr="00B62032">
        <w:rPr>
          <w:sz w:val="16"/>
          <w:szCs w:val="16"/>
          <w:lang w:val="es-CO"/>
        </w:rPr>
        <w:t>The</w:t>
      </w:r>
      <w:proofErr w:type="spellEnd"/>
      <w:r w:rsidRPr="00B62032">
        <w:rPr>
          <w:sz w:val="16"/>
          <w:szCs w:val="16"/>
          <w:lang w:val="es-CO"/>
        </w:rPr>
        <w:t xml:space="preserve"> Guardian, 20.</w:t>
      </w:r>
    </w:p>
    <w:p w14:paraId="21DEC598" w14:textId="77777777" w:rsidR="00B62032" w:rsidRPr="00B62032" w:rsidRDefault="00B62032" w:rsidP="00B62032">
      <w:pPr>
        <w:pStyle w:val="Text"/>
        <w:numPr>
          <w:ilvl w:val="0"/>
          <w:numId w:val="12"/>
        </w:numPr>
        <w:spacing w:after="120" w:line="240" w:lineRule="auto"/>
        <w:rPr>
          <w:sz w:val="16"/>
          <w:szCs w:val="16"/>
          <w:lang w:val="es-CO"/>
        </w:rPr>
      </w:pPr>
      <w:r w:rsidRPr="00B62032">
        <w:rPr>
          <w:sz w:val="16"/>
          <w:szCs w:val="16"/>
          <w:lang w:val="es-CO"/>
        </w:rPr>
        <w:t xml:space="preserve">Ministerio de Educación Nacional (2007). Glosario de Términos del Observatorio Laboral para la Educación. Recuperado de </w:t>
      </w:r>
      <w:hyperlink r:id="rId22" w:history="1">
        <w:r w:rsidRPr="00B62032">
          <w:rPr>
            <w:rStyle w:val="Hipervnculo"/>
            <w:rFonts w:eastAsiaTheme="majorEastAsia"/>
            <w:sz w:val="16"/>
            <w:szCs w:val="16"/>
            <w:lang w:val="es-CO"/>
          </w:rPr>
          <w:t>http://www.mineducacion.gov.co/sistemasdeinformacion/1735/articles-213912_glosario.pdf</w:t>
        </w:r>
      </w:hyperlink>
      <w:r w:rsidRPr="00B62032">
        <w:rPr>
          <w:sz w:val="16"/>
          <w:szCs w:val="16"/>
          <w:lang w:val="es-CO"/>
        </w:rPr>
        <w:t xml:space="preserve">  </w:t>
      </w:r>
    </w:p>
    <w:p w14:paraId="7A4F26E4" w14:textId="77777777" w:rsidR="00B62032" w:rsidRPr="00B62032" w:rsidRDefault="00B62032" w:rsidP="00B62032">
      <w:pPr>
        <w:pStyle w:val="Text"/>
        <w:numPr>
          <w:ilvl w:val="0"/>
          <w:numId w:val="12"/>
        </w:numPr>
        <w:spacing w:after="120" w:line="240" w:lineRule="auto"/>
        <w:rPr>
          <w:sz w:val="16"/>
          <w:szCs w:val="16"/>
          <w:lang w:val="es-CO"/>
        </w:rPr>
      </w:pPr>
      <w:r w:rsidRPr="00B62032">
        <w:rPr>
          <w:sz w:val="16"/>
          <w:szCs w:val="16"/>
          <w:lang w:val="es-CO"/>
        </w:rPr>
        <w:t>Cano Barrios, J., Del Pozo Serrano, F., &amp; Ricardo Barreto, C. (2016). Competencia intercultural de estudiantado de educación superior: un estudio en la Universidad del Norte (Barranquilla, Colombia).</w:t>
      </w:r>
    </w:p>
    <w:p w14:paraId="3152C802" w14:textId="77777777" w:rsidR="00B62032" w:rsidRPr="00B62032" w:rsidRDefault="00B62032" w:rsidP="00B62032">
      <w:pPr>
        <w:pStyle w:val="FigureCaption"/>
        <w:rPr>
          <w:b/>
          <w:lang w:val="es-CO"/>
        </w:rPr>
      </w:pPr>
    </w:p>
    <w:p w14:paraId="4FCFC1FA" w14:textId="77777777" w:rsidR="00B62032" w:rsidRPr="00B62032" w:rsidRDefault="00B62032" w:rsidP="00B62032">
      <w:pPr>
        <w:pStyle w:val="FigureCaption"/>
        <w:rPr>
          <w:lang w:val="es-CO"/>
        </w:rPr>
      </w:pPr>
      <w:r w:rsidRPr="00B62032">
        <w:rPr>
          <w:b/>
          <w:lang w:val="es-CO"/>
        </w:rPr>
        <w:t>Autores</w:t>
      </w:r>
    </w:p>
    <w:p w14:paraId="3EA9A3DE" w14:textId="77777777" w:rsidR="00B62032" w:rsidRDefault="00B62032" w:rsidP="00B62032">
      <w:pPr>
        <w:rPr>
          <w:b/>
          <w:sz w:val="16"/>
          <w:szCs w:val="16"/>
          <w:lang w:val="es-CO"/>
        </w:rPr>
      </w:pPr>
    </w:p>
    <w:p w14:paraId="70517812" w14:textId="3AD95549" w:rsidR="00B62032" w:rsidRPr="00B62032" w:rsidRDefault="00B62032" w:rsidP="00B62032">
      <w:pPr>
        <w:rPr>
          <w:sz w:val="16"/>
          <w:szCs w:val="16"/>
          <w:lang w:val="es-CO"/>
        </w:rPr>
      </w:pPr>
      <w:r w:rsidRPr="00B62032">
        <w:rPr>
          <w:b/>
          <w:sz w:val="16"/>
          <w:szCs w:val="16"/>
          <w:lang w:val="es-CO"/>
        </w:rPr>
        <w:t>Claudia Baloco Navarro</w:t>
      </w:r>
      <w:r w:rsidRPr="00B62032">
        <w:rPr>
          <w:sz w:val="16"/>
          <w:szCs w:val="16"/>
          <w:lang w:val="es-CO"/>
        </w:rPr>
        <w:t xml:space="preserve">, Ingeniera de Sistemas, Magister en Educación. Docente de Planta de la Universidad del Atlántico. Estudiantes de Doctorado en Educación, Universidad del Norte. </w:t>
      </w:r>
      <w:hyperlink r:id="rId23" w:history="1">
        <w:r w:rsidRPr="00B62032">
          <w:rPr>
            <w:rStyle w:val="Hipervnculo"/>
            <w:rFonts w:eastAsiaTheme="majorEastAsia"/>
            <w:sz w:val="16"/>
            <w:szCs w:val="16"/>
            <w:lang w:val="es-CO"/>
          </w:rPr>
          <w:t>cbaloco@uninorte.edu.co</w:t>
        </w:r>
      </w:hyperlink>
      <w:r w:rsidRPr="00B62032">
        <w:rPr>
          <w:sz w:val="16"/>
          <w:szCs w:val="16"/>
          <w:lang w:val="es-CO"/>
        </w:rPr>
        <w:t xml:space="preserve"> </w:t>
      </w:r>
    </w:p>
    <w:p w14:paraId="70F3F6BA" w14:textId="77777777" w:rsidR="00B62032" w:rsidRDefault="00B62032" w:rsidP="00B62032">
      <w:pPr>
        <w:pStyle w:val="ADYNABibliografia"/>
        <w:spacing w:after="0"/>
        <w:rPr>
          <w:b/>
          <w:szCs w:val="16"/>
          <w:lang w:val="es-CO"/>
        </w:rPr>
      </w:pPr>
    </w:p>
    <w:p w14:paraId="2EB72140" w14:textId="65F43313" w:rsidR="00B62032" w:rsidRPr="00907038" w:rsidRDefault="00B62032" w:rsidP="00B62032">
      <w:pPr>
        <w:pStyle w:val="ADYNABibliografia"/>
        <w:spacing w:after="0"/>
        <w:rPr>
          <w:szCs w:val="16"/>
          <w:lang w:val="es-CO"/>
        </w:rPr>
      </w:pPr>
      <w:r w:rsidRPr="00B62032">
        <w:rPr>
          <w:b/>
          <w:szCs w:val="16"/>
          <w:lang w:val="es-CO"/>
        </w:rPr>
        <w:t>Carmen Ricardo</w:t>
      </w:r>
      <w:r w:rsidRPr="00B62032">
        <w:rPr>
          <w:szCs w:val="16"/>
          <w:lang w:val="es-CO"/>
        </w:rPr>
        <w:t xml:space="preserve">. </w:t>
      </w:r>
      <w:proofErr w:type="spellStart"/>
      <w:r w:rsidRPr="00B62032">
        <w:rPr>
          <w:szCs w:val="16"/>
          <w:lang w:val="es-CO"/>
        </w:rPr>
        <w:t>Phd</w:t>
      </w:r>
      <w:proofErr w:type="spellEnd"/>
      <w:r w:rsidRPr="00B62032">
        <w:rPr>
          <w:szCs w:val="16"/>
          <w:lang w:val="es-CO"/>
        </w:rPr>
        <w:t xml:space="preserve">. Profesora, investigadora y directora del Departamento de Educación. Coordinadora de la </w:t>
      </w:r>
      <w:r w:rsidR="00907038">
        <w:rPr>
          <w:szCs w:val="16"/>
          <w:lang w:val="es-CO"/>
        </w:rPr>
        <w:t xml:space="preserve">Maestría y </w:t>
      </w:r>
      <w:r w:rsidRPr="00B62032">
        <w:rPr>
          <w:szCs w:val="16"/>
          <w:lang w:val="es-CO"/>
        </w:rPr>
        <w:t xml:space="preserve">Especialización Virtual en Educación Mediada por TIC Universidad del Norte. </w:t>
      </w:r>
      <w:hyperlink r:id="rId24" w:history="1">
        <w:r w:rsidRPr="00B62032">
          <w:rPr>
            <w:rStyle w:val="Hipervnculo"/>
            <w:rFonts w:eastAsiaTheme="majorEastAsia"/>
            <w:szCs w:val="16"/>
            <w:lang w:val="es-CO"/>
          </w:rPr>
          <w:t>cricardo@uninorte.edu.co</w:t>
        </w:r>
      </w:hyperlink>
    </w:p>
    <w:p w14:paraId="5B5FABCC" w14:textId="62F3ECF0" w:rsidR="003106AF" w:rsidRPr="00B62032" w:rsidRDefault="00B62032" w:rsidP="005256F2">
      <w:pPr>
        <w:pStyle w:val="ADYNACVAutores"/>
        <w:rPr>
          <w:szCs w:val="16"/>
          <w:lang w:val="es-ES_tradnl"/>
        </w:rPr>
      </w:pPr>
      <w:r>
        <w:rPr>
          <w:szCs w:val="16"/>
          <w:lang w:val="es-ES_tradnl"/>
        </w:rPr>
        <w:t xml:space="preserve"> </w:t>
      </w:r>
    </w:p>
    <w:p w14:paraId="2CDED364" w14:textId="0D73033D" w:rsidR="00D464F6" w:rsidRPr="00907038" w:rsidRDefault="00B62032" w:rsidP="00D464F6">
      <w:pPr>
        <w:pStyle w:val="ADYNACVAutores"/>
        <w:rPr>
          <w:szCs w:val="16"/>
          <w:lang w:val="es-CO"/>
        </w:rPr>
      </w:pPr>
      <w:r>
        <w:rPr>
          <w:szCs w:val="16"/>
          <w:lang w:val="es-CO"/>
        </w:rPr>
        <w:t xml:space="preserve"> </w:t>
      </w:r>
    </w:p>
    <w:p w14:paraId="0776A751" w14:textId="77777777" w:rsidR="000773BE" w:rsidRPr="00907038" w:rsidRDefault="000773BE" w:rsidP="005256F2">
      <w:pPr>
        <w:pStyle w:val="ADYNACVAutores"/>
        <w:rPr>
          <w:szCs w:val="16"/>
          <w:lang w:val="es-CO"/>
        </w:rPr>
      </w:pPr>
    </w:p>
    <w:sectPr w:rsidR="000773BE" w:rsidRPr="00907038" w:rsidSect="009062C9">
      <w:type w:val="continuous"/>
      <w:pgSz w:w="12242" w:h="15842" w:code="1"/>
      <w:pgMar w:top="964" w:right="964" w:bottom="964" w:left="964" w:header="709" w:footer="709" w:gutter="0"/>
      <w:cols w:num="2" w:space="221"/>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3BFC4" w14:textId="77777777" w:rsidR="004B7B44" w:rsidRDefault="004B7B44" w:rsidP="0099410F">
      <w:r>
        <w:separator/>
      </w:r>
    </w:p>
  </w:endnote>
  <w:endnote w:type="continuationSeparator" w:id="0">
    <w:p w14:paraId="4338C671" w14:textId="77777777" w:rsidR="004B7B44" w:rsidRDefault="004B7B44" w:rsidP="0099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813BB" w14:textId="77777777" w:rsidR="008E37A8" w:rsidRDefault="008E37A8" w:rsidP="0037274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4F9B29E" w14:textId="77777777" w:rsidR="008E37A8" w:rsidRDefault="008E37A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E87BF" w14:textId="34F1F48C" w:rsidR="008E37A8" w:rsidRPr="00BB7DA2" w:rsidRDefault="008E37A8" w:rsidP="00832F4D">
    <w:pPr>
      <w:pStyle w:val="Piedepgina"/>
      <w:framePr w:wrap="around" w:vAnchor="text" w:hAnchor="margin" w:xAlign="center" w:y="1"/>
      <w:spacing w:before="200"/>
      <w:rPr>
        <w:rStyle w:val="Nmerodepgina"/>
        <w:sz w:val="16"/>
        <w:szCs w:val="16"/>
      </w:rPr>
    </w:pPr>
    <w:r w:rsidRPr="00BB7DA2">
      <w:rPr>
        <w:rStyle w:val="Nmerodepgina"/>
        <w:sz w:val="16"/>
        <w:szCs w:val="16"/>
      </w:rPr>
      <w:fldChar w:fldCharType="begin"/>
    </w:r>
    <w:r w:rsidRPr="00832F4D">
      <w:rPr>
        <w:rStyle w:val="Nmerodepgina"/>
        <w:sz w:val="16"/>
        <w:szCs w:val="16"/>
      </w:rPr>
      <w:instrText xml:space="preserve">PAGE  </w:instrText>
    </w:r>
    <w:r w:rsidRPr="00BB7DA2">
      <w:rPr>
        <w:rStyle w:val="Nmerodepgina"/>
        <w:sz w:val="16"/>
        <w:szCs w:val="16"/>
      </w:rPr>
      <w:fldChar w:fldCharType="separate"/>
    </w:r>
    <w:r w:rsidR="00DD368B">
      <w:rPr>
        <w:rStyle w:val="Nmerodepgina"/>
        <w:noProof/>
        <w:sz w:val="16"/>
        <w:szCs w:val="16"/>
      </w:rPr>
      <w:t>7</w:t>
    </w:r>
    <w:r w:rsidRPr="00BB7DA2">
      <w:rPr>
        <w:rStyle w:val="Nmerodepgina"/>
        <w:sz w:val="16"/>
        <w:szCs w:val="16"/>
      </w:rPr>
      <w:fldChar w:fldCharType="end"/>
    </w:r>
  </w:p>
  <w:p w14:paraId="485A86EC" w14:textId="77777777" w:rsidR="008E37A8" w:rsidRPr="00372740" w:rsidRDefault="008E37A8" w:rsidP="00832F4D">
    <w:pPr>
      <w:pStyle w:val="Piedepgina"/>
      <w:tabs>
        <w:tab w:val="clear" w:pos="4252"/>
        <w:tab w:val="clear" w:pos="8504"/>
        <w:tab w:val="center" w:pos="5103"/>
      </w:tabs>
      <w:spacing w:before="200"/>
      <w:rPr>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4BE156" w14:textId="77777777" w:rsidR="008E37A8" w:rsidRPr="001840D2" w:rsidRDefault="008E37A8" w:rsidP="00EB3FA8">
    <w:pPr>
      <w:pStyle w:val="TituloArticulo"/>
      <w:spacing w:before="200"/>
      <w:rPr>
        <w:sz w:val="16"/>
        <w:szCs w:val="16"/>
        <w:lang w:val="es-CO"/>
      </w:rPr>
    </w:pPr>
    <w:r w:rsidRPr="001840D2">
      <w:rPr>
        <w:sz w:val="16"/>
        <w:szCs w:val="16"/>
        <w:lang w:val="es-CO"/>
      </w:rPr>
      <w:t xml:space="preserve">© </w:t>
    </w:r>
    <w:r>
      <w:rPr>
        <w:sz w:val="16"/>
        <w:szCs w:val="16"/>
        <w:lang w:val="es-CO"/>
      </w:rPr>
      <w:t>Los autores; licenciado a ACOFI</w:t>
    </w:r>
    <w:r w:rsidRPr="001840D2">
      <w:rPr>
        <w:sz w:val="16"/>
        <w:szCs w:val="16"/>
        <w:lang w:val="es-CO"/>
      </w:rPr>
      <w:t>.</w:t>
    </w:r>
    <w:r>
      <w:rPr>
        <w:sz w:val="16"/>
        <w:szCs w:val="16"/>
        <w:lang w:val="es-CO"/>
      </w:rPr>
      <w:t xml:space="preserve"> </w:t>
    </w:r>
    <w:r>
      <w:rPr>
        <w:noProof/>
        <w:lang w:val="es-CO" w:eastAsia="es-CO"/>
      </w:rPr>
      <w:drawing>
        <wp:inline distT="0" distB="0" distL="0" distR="0" wp14:anchorId="50B968D6" wp14:editId="73F7A8B7">
          <wp:extent cx="417600" cy="147600"/>
          <wp:effectExtent l="0" t="0" r="1905" b="5080"/>
          <wp:docPr id="1" name="Imagen 1"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ative Commons Licen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600" cy="147600"/>
                  </a:xfrm>
                  <a:prstGeom prst="rect">
                    <a:avLst/>
                  </a:prstGeom>
                  <a:noFill/>
                  <a:ln>
                    <a:noFill/>
                  </a:ln>
                </pic:spPr>
              </pic:pic>
            </a:graphicData>
          </a:graphic>
        </wp:inline>
      </w:drawing>
    </w:r>
  </w:p>
  <w:p w14:paraId="1A105F56" w14:textId="77777777" w:rsidR="008E37A8" w:rsidRPr="003106AF" w:rsidRDefault="008E37A8" w:rsidP="00EB3FA8">
    <w:pPr>
      <w:pStyle w:val="TituloArticulo"/>
      <w:rPr>
        <w:sz w:val="18"/>
        <w:lang w:val="es-ES_tradnl"/>
      </w:rPr>
    </w:pPr>
    <w:r w:rsidRPr="003106AF">
      <w:rPr>
        <w:sz w:val="16"/>
        <w:szCs w:val="20"/>
        <w:lang w:val="es-ES_tradnl"/>
      </w:rPr>
      <w:t>Revista Educación en Ingeniería</w:t>
    </w:r>
    <w:r>
      <w:rPr>
        <w:sz w:val="16"/>
        <w:szCs w:val="20"/>
        <w:lang w:val="es-ES_tradnl"/>
      </w:rPr>
      <w:t>,</w:t>
    </w:r>
    <w:r w:rsidRPr="003106AF">
      <w:rPr>
        <w:sz w:val="16"/>
        <w:szCs w:val="20"/>
        <w:lang w:val="es-ES_tradnl"/>
      </w:rPr>
      <w:t xml:space="preserve"> </w:t>
    </w:r>
    <w:r>
      <w:rPr>
        <w:sz w:val="16"/>
        <w:szCs w:val="20"/>
        <w:lang w:val="es-ES_tradnl"/>
      </w:rPr>
      <w:t>10</w:t>
    </w:r>
    <w:r w:rsidRPr="003106AF">
      <w:rPr>
        <w:sz w:val="16"/>
        <w:szCs w:val="20"/>
        <w:lang w:val="es-ES_tradnl"/>
      </w:rPr>
      <w:t xml:space="preserve"> </w:t>
    </w:r>
    <w:r>
      <w:rPr>
        <w:sz w:val="16"/>
        <w:szCs w:val="20"/>
        <w:lang w:val="es-ES_tradnl"/>
      </w:rPr>
      <w:t>(20)</w:t>
    </w:r>
    <w:r w:rsidRPr="003106AF">
      <w:rPr>
        <w:sz w:val="16"/>
        <w:szCs w:val="20"/>
        <w:lang w:val="es-ES_tradnl"/>
      </w:rPr>
      <w:t>,</w:t>
    </w:r>
    <w:r w:rsidRPr="003106AF">
      <w:rPr>
        <w:sz w:val="16"/>
        <w:szCs w:val="16"/>
        <w:lang w:val="es-ES_tradnl"/>
      </w:rPr>
      <w:t xml:space="preserve"> pp. 1-2. A</w:t>
    </w:r>
    <w:r>
      <w:rPr>
        <w:sz w:val="16"/>
        <w:szCs w:val="16"/>
        <w:lang w:val="es-ES_tradnl"/>
      </w:rPr>
      <w:t>bril</w:t>
    </w:r>
    <w:r w:rsidRPr="003106AF">
      <w:rPr>
        <w:sz w:val="16"/>
        <w:szCs w:val="16"/>
        <w:lang w:val="es-ES_tradnl"/>
      </w:rPr>
      <w:t>, 201</w:t>
    </w:r>
    <w:r>
      <w:rPr>
        <w:sz w:val="16"/>
        <w:szCs w:val="16"/>
        <w:lang w:val="es-ES_tradnl"/>
      </w:rPr>
      <w:t>5</w:t>
    </w:r>
    <w:r w:rsidRPr="003106AF">
      <w:rPr>
        <w:sz w:val="16"/>
        <w:szCs w:val="16"/>
        <w:lang w:val="es-ES_tradnl"/>
      </w:rPr>
      <w:t xml:space="preserve">. </w:t>
    </w:r>
    <w:r>
      <w:rPr>
        <w:sz w:val="16"/>
        <w:szCs w:val="16"/>
        <w:lang w:val="es-ES_tradnl"/>
      </w:rPr>
      <w:t>Bogotá</w:t>
    </w:r>
    <w:r w:rsidRPr="003106AF">
      <w:rPr>
        <w:sz w:val="16"/>
        <w:szCs w:val="16"/>
        <w:lang w:val="es-ES_tradnl"/>
      </w:rPr>
      <w:t xml:space="preserve">. ISSN </w:t>
    </w:r>
    <w:r>
      <w:rPr>
        <w:sz w:val="16"/>
        <w:szCs w:val="16"/>
        <w:lang w:val="es-ES_tradnl"/>
      </w:rPr>
      <w:t>1900</w:t>
    </w:r>
    <w:r w:rsidRPr="003106AF">
      <w:rPr>
        <w:sz w:val="16"/>
        <w:szCs w:val="16"/>
        <w:lang w:val="es-ES_tradnl"/>
      </w:rPr>
      <w:t>-</w:t>
    </w:r>
    <w:r>
      <w:rPr>
        <w:sz w:val="16"/>
        <w:szCs w:val="16"/>
        <w:lang w:val="es-ES_tradnl"/>
      </w:rPr>
      <w:t>8260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71402" w14:textId="77777777" w:rsidR="004B7B44" w:rsidRDefault="004B7B44" w:rsidP="0099410F">
      <w:r>
        <w:separator/>
      </w:r>
    </w:p>
  </w:footnote>
  <w:footnote w:type="continuationSeparator" w:id="0">
    <w:p w14:paraId="4B6AC6BC" w14:textId="77777777" w:rsidR="004B7B44" w:rsidRDefault="004B7B44" w:rsidP="009941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5A2DD" w14:textId="77777777" w:rsidR="008E37A8" w:rsidRPr="00EB3FA8" w:rsidRDefault="008E37A8" w:rsidP="00EB3FA8">
    <w:pPr>
      <w:pStyle w:val="Encabezado"/>
      <w:tabs>
        <w:tab w:val="clear" w:pos="4252"/>
        <w:tab w:val="clear" w:pos="8504"/>
        <w:tab w:val="center" w:pos="5103"/>
      </w:tabs>
      <w:spacing w:after="280"/>
      <w:jc w:val="center"/>
      <w:rPr>
        <w:sz w:val="16"/>
        <w:szCs w:val="16"/>
      </w:rPr>
    </w:pPr>
    <w:r>
      <w:rPr>
        <w:sz w:val="16"/>
        <w:szCs w:val="16"/>
        <w:lang w:val="es-CO"/>
      </w:rPr>
      <w:t>Velásquez &amp; Rada</w:t>
    </w:r>
    <w:r w:rsidRPr="006903C4">
      <w:rPr>
        <w:sz w:val="16"/>
        <w:szCs w:val="16"/>
        <w:lang w:val="es-CO"/>
      </w:rPr>
      <w:t xml:space="preserve"> /</w:t>
    </w:r>
    <w:r>
      <w:rPr>
        <w:sz w:val="16"/>
        <w:szCs w:val="16"/>
        <w:lang w:val="es-CO"/>
      </w:rPr>
      <w:t xml:space="preserve"> Revista Educación en Ingeniería </w:t>
    </w:r>
    <w:r>
      <w:rPr>
        <w:sz w:val="16"/>
        <w:szCs w:val="16"/>
      </w:rPr>
      <w:t>10</w:t>
    </w:r>
    <w:r w:rsidRPr="00731237">
      <w:rPr>
        <w:sz w:val="16"/>
        <w:szCs w:val="16"/>
      </w:rPr>
      <w:t xml:space="preserve"> (</w:t>
    </w:r>
    <w:r>
      <w:rPr>
        <w:sz w:val="16"/>
        <w:szCs w:val="16"/>
      </w:rPr>
      <w:t>20</w:t>
    </w:r>
    <w:r w:rsidRPr="00731237">
      <w:rPr>
        <w:sz w:val="16"/>
        <w:szCs w:val="16"/>
      </w:rPr>
      <w:t xml:space="preserve">), pp. </w:t>
    </w:r>
    <w:r>
      <w:rPr>
        <w:sz w:val="16"/>
        <w:szCs w:val="16"/>
      </w:rPr>
      <w:t>1-2</w:t>
    </w:r>
    <w:r w:rsidRPr="00731237">
      <w:rPr>
        <w:sz w:val="16"/>
        <w:szCs w:val="16"/>
      </w:rPr>
      <w:t xml:space="preserve">. </w:t>
    </w:r>
    <w:r w:rsidRPr="00CB352A">
      <w:rPr>
        <w:sz w:val="16"/>
        <w:szCs w:val="16"/>
      </w:rPr>
      <w:t>A</w:t>
    </w:r>
    <w:r>
      <w:rPr>
        <w:sz w:val="16"/>
        <w:szCs w:val="16"/>
      </w:rPr>
      <w:t>b</w:t>
    </w:r>
    <w:r w:rsidRPr="00CB352A">
      <w:rPr>
        <w:sz w:val="16"/>
        <w:szCs w:val="16"/>
      </w:rPr>
      <w:t>ril, 201</w:t>
    </w:r>
    <w:r>
      <w:rPr>
        <w:sz w:val="16"/>
        <w:szCs w:val="16"/>
      </w:rPr>
      <w:t>5</w:t>
    </w:r>
    <w:r w:rsidRPr="00CB352A">
      <w:rPr>
        <w:sz w:val="16"/>
        <w:szCs w:val="16"/>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2147A" w14:textId="77777777" w:rsidR="008E37A8" w:rsidRPr="003A7469" w:rsidRDefault="008E37A8" w:rsidP="008E37A8">
    <w:pPr>
      <w:pStyle w:val="Encabezado"/>
      <w:tabs>
        <w:tab w:val="clear" w:pos="4252"/>
        <w:tab w:val="clear" w:pos="8504"/>
        <w:tab w:val="right" w:pos="9923"/>
      </w:tabs>
      <w:rPr>
        <w:rFonts w:ascii="Arial" w:hAnsi="Arial"/>
        <w:b/>
        <w:lang w:val="en-US"/>
      </w:rPr>
    </w:pPr>
    <w:r>
      <w:rPr>
        <w:rFonts w:ascii="Arial" w:hAnsi="Arial"/>
        <w:b/>
        <w:noProof/>
        <w:lang w:val="es-CO" w:eastAsia="es-CO"/>
      </w:rPr>
      <w:drawing>
        <wp:inline distT="0" distB="0" distL="0" distR="0" wp14:anchorId="39C32DA0" wp14:editId="0FBA219E">
          <wp:extent cx="1486789" cy="578397"/>
          <wp:effectExtent l="0" t="0" r="0" b="6350"/>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631" cy="578725"/>
                  </a:xfrm>
                  <a:prstGeom prst="rect">
                    <a:avLst/>
                  </a:prstGeom>
                  <a:noFill/>
                  <a:ln>
                    <a:noFill/>
                  </a:ln>
                </pic:spPr>
              </pic:pic>
            </a:graphicData>
          </a:graphic>
        </wp:inline>
      </w:drawing>
    </w:r>
    <w:r>
      <w:rPr>
        <w:rFonts w:ascii="Helvetica" w:eastAsiaTheme="minorHAnsi" w:hAnsi="Helvetica" w:cs="Helvetica"/>
        <w:sz w:val="24"/>
        <w:lang w:eastAsia="en-US"/>
      </w:rPr>
      <w:tab/>
    </w:r>
    <w:r>
      <w:rPr>
        <w:rFonts w:ascii="Helvetica" w:eastAsiaTheme="minorHAnsi" w:hAnsi="Helvetica" w:cs="Helvetica"/>
        <w:noProof/>
        <w:sz w:val="24"/>
        <w:lang w:val="es-CO" w:eastAsia="es-CO"/>
      </w:rPr>
      <w:drawing>
        <wp:inline distT="0" distB="0" distL="0" distR="0" wp14:anchorId="72A854F4" wp14:editId="3ED01B70">
          <wp:extent cx="1457837" cy="579600"/>
          <wp:effectExtent l="0" t="0" r="0" b="508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b="6286"/>
                  <a:stretch/>
                </pic:blipFill>
                <pic:spPr bwMode="auto">
                  <a:xfrm>
                    <a:off x="0" y="0"/>
                    <a:ext cx="1457837" cy="57960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r>
      <w:rPr>
        <w:rFonts w:ascii="Helvetica" w:eastAsiaTheme="minorHAnsi" w:hAnsi="Helvetica" w:cs="Helvetica"/>
        <w:sz w:val="24"/>
        <w:lang w:eastAsia="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295F"/>
    <w:multiLevelType w:val="singleLevel"/>
    <w:tmpl w:val="0C0A000F"/>
    <w:lvl w:ilvl="0">
      <w:start w:val="1"/>
      <w:numFmt w:val="decimal"/>
      <w:lvlText w:val="%1."/>
      <w:legacy w:legacy="1" w:legacySpace="0" w:legacyIndent="360"/>
      <w:lvlJc w:val="left"/>
      <w:pPr>
        <w:ind w:left="360" w:hanging="360"/>
      </w:pPr>
    </w:lvl>
  </w:abstractNum>
  <w:abstractNum w:abstractNumId="1" w15:restartNumberingAfterBreak="0">
    <w:nsid w:val="116F798A"/>
    <w:multiLevelType w:val="hybridMultilevel"/>
    <w:tmpl w:val="F0C0B6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3953E5F"/>
    <w:multiLevelType w:val="hybridMultilevel"/>
    <w:tmpl w:val="668A4472"/>
    <w:lvl w:ilvl="0" w:tplc="509C063C">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3D71E6E"/>
    <w:multiLevelType w:val="hybridMultilevel"/>
    <w:tmpl w:val="55A4D1E4"/>
    <w:lvl w:ilvl="0" w:tplc="FFFFFFFF">
      <w:start w:val="1"/>
      <w:numFmt w:val="upperRoman"/>
      <w:lvlText w:val="%1."/>
      <w:lvlJc w:val="right"/>
      <w:pPr>
        <w:tabs>
          <w:tab w:val="num" w:pos="888"/>
        </w:tabs>
        <w:ind w:left="888" w:hanging="180"/>
      </w:pPr>
      <w:rPr>
        <w:rFonts w:hint="default"/>
      </w:rPr>
    </w:lvl>
    <w:lvl w:ilvl="1" w:tplc="FFFFFFFF" w:tentative="1">
      <w:start w:val="1"/>
      <w:numFmt w:val="lowerLetter"/>
      <w:lvlText w:val="%2."/>
      <w:lvlJc w:val="left"/>
      <w:pPr>
        <w:tabs>
          <w:tab w:val="num" w:pos="1608"/>
        </w:tabs>
        <w:ind w:left="1608" w:hanging="360"/>
      </w:pPr>
    </w:lvl>
    <w:lvl w:ilvl="2" w:tplc="FFFFFFFF" w:tentative="1">
      <w:start w:val="1"/>
      <w:numFmt w:val="lowerRoman"/>
      <w:lvlText w:val="%3."/>
      <w:lvlJc w:val="right"/>
      <w:pPr>
        <w:tabs>
          <w:tab w:val="num" w:pos="2328"/>
        </w:tabs>
        <w:ind w:left="2328" w:hanging="180"/>
      </w:pPr>
    </w:lvl>
    <w:lvl w:ilvl="3" w:tplc="FFFFFFFF" w:tentative="1">
      <w:start w:val="1"/>
      <w:numFmt w:val="decimal"/>
      <w:lvlText w:val="%4."/>
      <w:lvlJc w:val="left"/>
      <w:pPr>
        <w:tabs>
          <w:tab w:val="num" w:pos="3048"/>
        </w:tabs>
        <w:ind w:left="3048" w:hanging="360"/>
      </w:pPr>
    </w:lvl>
    <w:lvl w:ilvl="4" w:tplc="FFFFFFFF" w:tentative="1">
      <w:start w:val="1"/>
      <w:numFmt w:val="lowerLetter"/>
      <w:lvlText w:val="%5."/>
      <w:lvlJc w:val="left"/>
      <w:pPr>
        <w:tabs>
          <w:tab w:val="num" w:pos="3768"/>
        </w:tabs>
        <w:ind w:left="3768" w:hanging="360"/>
      </w:pPr>
    </w:lvl>
    <w:lvl w:ilvl="5" w:tplc="FFFFFFFF" w:tentative="1">
      <w:start w:val="1"/>
      <w:numFmt w:val="lowerRoman"/>
      <w:lvlText w:val="%6."/>
      <w:lvlJc w:val="right"/>
      <w:pPr>
        <w:tabs>
          <w:tab w:val="num" w:pos="4488"/>
        </w:tabs>
        <w:ind w:left="4488" w:hanging="180"/>
      </w:pPr>
    </w:lvl>
    <w:lvl w:ilvl="6" w:tplc="FFFFFFFF" w:tentative="1">
      <w:start w:val="1"/>
      <w:numFmt w:val="decimal"/>
      <w:lvlText w:val="%7."/>
      <w:lvlJc w:val="left"/>
      <w:pPr>
        <w:tabs>
          <w:tab w:val="num" w:pos="5208"/>
        </w:tabs>
        <w:ind w:left="5208" w:hanging="360"/>
      </w:pPr>
    </w:lvl>
    <w:lvl w:ilvl="7" w:tplc="FFFFFFFF" w:tentative="1">
      <w:start w:val="1"/>
      <w:numFmt w:val="lowerLetter"/>
      <w:lvlText w:val="%8."/>
      <w:lvlJc w:val="left"/>
      <w:pPr>
        <w:tabs>
          <w:tab w:val="num" w:pos="5928"/>
        </w:tabs>
        <w:ind w:left="5928" w:hanging="360"/>
      </w:pPr>
    </w:lvl>
    <w:lvl w:ilvl="8" w:tplc="FFFFFFFF" w:tentative="1">
      <w:start w:val="1"/>
      <w:numFmt w:val="lowerRoman"/>
      <w:lvlText w:val="%9."/>
      <w:lvlJc w:val="right"/>
      <w:pPr>
        <w:tabs>
          <w:tab w:val="num" w:pos="6648"/>
        </w:tabs>
        <w:ind w:left="6648" w:hanging="180"/>
      </w:pPr>
    </w:lvl>
  </w:abstractNum>
  <w:abstractNum w:abstractNumId="4" w15:restartNumberingAfterBreak="0">
    <w:nsid w:val="24742A4D"/>
    <w:multiLevelType w:val="hybridMultilevel"/>
    <w:tmpl w:val="FE2CA0A6"/>
    <w:lvl w:ilvl="0" w:tplc="970671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6BF1B84"/>
    <w:multiLevelType w:val="hybridMultilevel"/>
    <w:tmpl w:val="8604AA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4C6377"/>
    <w:multiLevelType w:val="hybridMultilevel"/>
    <w:tmpl w:val="3A7AA2D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F097977"/>
    <w:multiLevelType w:val="hybridMultilevel"/>
    <w:tmpl w:val="5D3EA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89F327C"/>
    <w:multiLevelType w:val="hybridMultilevel"/>
    <w:tmpl w:val="F71465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9417C3D"/>
    <w:multiLevelType w:val="hybridMultilevel"/>
    <w:tmpl w:val="F2E84780"/>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60D6433D"/>
    <w:multiLevelType w:val="hybridMultilevel"/>
    <w:tmpl w:val="663ED2DA"/>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1" w15:restartNumberingAfterBreak="0">
    <w:nsid w:val="6DC3293B"/>
    <w:multiLevelType w:val="singleLevel"/>
    <w:tmpl w:val="3A8EC28E"/>
    <w:lvl w:ilvl="0">
      <w:start w:val="1"/>
      <w:numFmt w:val="decimal"/>
      <w:lvlText w:val="[%1]"/>
      <w:lvlJc w:val="left"/>
      <w:pPr>
        <w:tabs>
          <w:tab w:val="num" w:pos="360"/>
        </w:tabs>
        <w:ind w:left="360" w:hanging="360"/>
      </w:pPr>
    </w:lvl>
  </w:abstractNum>
  <w:abstractNum w:abstractNumId="12" w15:restartNumberingAfterBreak="0">
    <w:nsid w:val="70471999"/>
    <w:multiLevelType w:val="hybridMultilevel"/>
    <w:tmpl w:val="50DC7FE4"/>
    <w:lvl w:ilvl="0" w:tplc="A6CC6818">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08F61CE"/>
    <w:multiLevelType w:val="hybridMultilevel"/>
    <w:tmpl w:val="D090B226"/>
    <w:lvl w:ilvl="0" w:tplc="0C0A0001">
      <w:start w:val="1"/>
      <w:numFmt w:val="bullet"/>
      <w:lvlText w:val=""/>
      <w:lvlJc w:val="left"/>
      <w:pPr>
        <w:ind w:left="777" w:hanging="360"/>
      </w:pPr>
      <w:rPr>
        <w:rFonts w:ascii="Symbol" w:hAnsi="Symbol" w:hint="default"/>
      </w:rPr>
    </w:lvl>
    <w:lvl w:ilvl="1" w:tplc="0C0A0003" w:tentative="1">
      <w:start w:val="1"/>
      <w:numFmt w:val="bullet"/>
      <w:lvlText w:val="o"/>
      <w:lvlJc w:val="left"/>
      <w:pPr>
        <w:ind w:left="1497" w:hanging="360"/>
      </w:pPr>
      <w:rPr>
        <w:rFonts w:ascii="Courier New" w:hAnsi="Courier New" w:hint="default"/>
      </w:rPr>
    </w:lvl>
    <w:lvl w:ilvl="2" w:tplc="0C0A0005" w:tentative="1">
      <w:start w:val="1"/>
      <w:numFmt w:val="bullet"/>
      <w:lvlText w:val=""/>
      <w:lvlJc w:val="left"/>
      <w:pPr>
        <w:ind w:left="2217" w:hanging="360"/>
      </w:pPr>
      <w:rPr>
        <w:rFonts w:ascii="Wingdings" w:hAnsi="Wingdings" w:hint="default"/>
      </w:rPr>
    </w:lvl>
    <w:lvl w:ilvl="3" w:tplc="0C0A0001" w:tentative="1">
      <w:start w:val="1"/>
      <w:numFmt w:val="bullet"/>
      <w:lvlText w:val=""/>
      <w:lvlJc w:val="left"/>
      <w:pPr>
        <w:ind w:left="2937" w:hanging="360"/>
      </w:pPr>
      <w:rPr>
        <w:rFonts w:ascii="Symbol" w:hAnsi="Symbol" w:hint="default"/>
      </w:rPr>
    </w:lvl>
    <w:lvl w:ilvl="4" w:tplc="0C0A0003" w:tentative="1">
      <w:start w:val="1"/>
      <w:numFmt w:val="bullet"/>
      <w:lvlText w:val="o"/>
      <w:lvlJc w:val="left"/>
      <w:pPr>
        <w:ind w:left="3657" w:hanging="360"/>
      </w:pPr>
      <w:rPr>
        <w:rFonts w:ascii="Courier New" w:hAnsi="Courier New" w:hint="default"/>
      </w:rPr>
    </w:lvl>
    <w:lvl w:ilvl="5" w:tplc="0C0A0005" w:tentative="1">
      <w:start w:val="1"/>
      <w:numFmt w:val="bullet"/>
      <w:lvlText w:val=""/>
      <w:lvlJc w:val="left"/>
      <w:pPr>
        <w:ind w:left="4377" w:hanging="360"/>
      </w:pPr>
      <w:rPr>
        <w:rFonts w:ascii="Wingdings" w:hAnsi="Wingdings" w:hint="default"/>
      </w:rPr>
    </w:lvl>
    <w:lvl w:ilvl="6" w:tplc="0C0A0001" w:tentative="1">
      <w:start w:val="1"/>
      <w:numFmt w:val="bullet"/>
      <w:lvlText w:val=""/>
      <w:lvlJc w:val="left"/>
      <w:pPr>
        <w:ind w:left="5097" w:hanging="360"/>
      </w:pPr>
      <w:rPr>
        <w:rFonts w:ascii="Symbol" w:hAnsi="Symbol" w:hint="default"/>
      </w:rPr>
    </w:lvl>
    <w:lvl w:ilvl="7" w:tplc="0C0A0003" w:tentative="1">
      <w:start w:val="1"/>
      <w:numFmt w:val="bullet"/>
      <w:lvlText w:val="o"/>
      <w:lvlJc w:val="left"/>
      <w:pPr>
        <w:ind w:left="5817" w:hanging="360"/>
      </w:pPr>
      <w:rPr>
        <w:rFonts w:ascii="Courier New" w:hAnsi="Courier New" w:hint="default"/>
      </w:rPr>
    </w:lvl>
    <w:lvl w:ilvl="8" w:tplc="0C0A0005" w:tentative="1">
      <w:start w:val="1"/>
      <w:numFmt w:val="bullet"/>
      <w:lvlText w:val=""/>
      <w:lvlJc w:val="left"/>
      <w:pPr>
        <w:ind w:left="6537" w:hanging="360"/>
      </w:pPr>
      <w:rPr>
        <w:rFonts w:ascii="Wingdings" w:hAnsi="Wingdings" w:hint="default"/>
      </w:rPr>
    </w:lvl>
  </w:abstractNum>
  <w:abstractNum w:abstractNumId="14" w15:restartNumberingAfterBreak="0">
    <w:nsid w:val="727D7180"/>
    <w:multiLevelType w:val="multilevel"/>
    <w:tmpl w:val="CB74CC2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5"/>
  </w:num>
  <w:num w:numId="2">
    <w:abstractNumId w:val="13"/>
  </w:num>
  <w:num w:numId="3">
    <w:abstractNumId w:val="8"/>
  </w:num>
  <w:num w:numId="4">
    <w:abstractNumId w:val="10"/>
  </w:num>
  <w:num w:numId="5">
    <w:abstractNumId w:val="7"/>
  </w:num>
  <w:num w:numId="6">
    <w:abstractNumId w:val="1"/>
  </w:num>
  <w:num w:numId="7">
    <w:abstractNumId w:val="6"/>
  </w:num>
  <w:num w:numId="8">
    <w:abstractNumId w:val="14"/>
  </w:num>
  <w:num w:numId="9">
    <w:abstractNumId w:val="2"/>
  </w:num>
  <w:num w:numId="10">
    <w:abstractNumId w:val="4"/>
  </w:num>
  <w:num w:numId="11">
    <w:abstractNumId w:val="9"/>
  </w:num>
  <w:num w:numId="12">
    <w:abstractNumId w:val="12"/>
  </w:num>
  <w:num w:numId="13">
    <w:abstractNumId w:val="3"/>
  </w:num>
  <w:num w:numId="14">
    <w:abstractNumId w:val="11"/>
  </w:num>
  <w:num w:numId="15">
    <w:abstractNumId w:val="0"/>
    <w:lvlOverride w:ilvl="0">
      <w:lvl w:ilvl="0">
        <w:start w:val="1"/>
        <w:numFmt w:val="decimal"/>
        <w:lvlText w:val="%1."/>
        <w:legacy w:legacy="1" w:legacySpace="0" w:legacyIndent="360"/>
        <w:lvlJc w:val="left"/>
        <w:pPr>
          <w:ind w:left="36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4B2"/>
    <w:rsid w:val="00034271"/>
    <w:rsid w:val="00046B5E"/>
    <w:rsid w:val="00051BA8"/>
    <w:rsid w:val="000532CF"/>
    <w:rsid w:val="00060D60"/>
    <w:rsid w:val="000773BE"/>
    <w:rsid w:val="000841FF"/>
    <w:rsid w:val="000A651C"/>
    <w:rsid w:val="000B15CE"/>
    <w:rsid w:val="000B4D09"/>
    <w:rsid w:val="000E43FD"/>
    <w:rsid w:val="000F3EB5"/>
    <w:rsid w:val="000F40F9"/>
    <w:rsid w:val="000F5B6E"/>
    <w:rsid w:val="001032E0"/>
    <w:rsid w:val="001232D8"/>
    <w:rsid w:val="00130E5D"/>
    <w:rsid w:val="0013686A"/>
    <w:rsid w:val="001607F4"/>
    <w:rsid w:val="00167DAF"/>
    <w:rsid w:val="001751E2"/>
    <w:rsid w:val="00181A6E"/>
    <w:rsid w:val="001840D2"/>
    <w:rsid w:val="00190D9E"/>
    <w:rsid w:val="001A4669"/>
    <w:rsid w:val="001B317C"/>
    <w:rsid w:val="001C21F1"/>
    <w:rsid w:val="001C633D"/>
    <w:rsid w:val="00211C35"/>
    <w:rsid w:val="00231EC9"/>
    <w:rsid w:val="0023444D"/>
    <w:rsid w:val="00234EE5"/>
    <w:rsid w:val="002455B3"/>
    <w:rsid w:val="00245E87"/>
    <w:rsid w:val="002611B1"/>
    <w:rsid w:val="00273E7D"/>
    <w:rsid w:val="00276969"/>
    <w:rsid w:val="002A5239"/>
    <w:rsid w:val="002A6F72"/>
    <w:rsid w:val="002B12C5"/>
    <w:rsid w:val="002D514B"/>
    <w:rsid w:val="002E5B70"/>
    <w:rsid w:val="003106AF"/>
    <w:rsid w:val="003311E4"/>
    <w:rsid w:val="00350CEE"/>
    <w:rsid w:val="00372740"/>
    <w:rsid w:val="00381EA9"/>
    <w:rsid w:val="00384863"/>
    <w:rsid w:val="00386495"/>
    <w:rsid w:val="00392545"/>
    <w:rsid w:val="00395217"/>
    <w:rsid w:val="0039696F"/>
    <w:rsid w:val="003A0FD6"/>
    <w:rsid w:val="003A7469"/>
    <w:rsid w:val="003B6567"/>
    <w:rsid w:val="003F37D3"/>
    <w:rsid w:val="004020BD"/>
    <w:rsid w:val="00420857"/>
    <w:rsid w:val="00431EA5"/>
    <w:rsid w:val="00455605"/>
    <w:rsid w:val="004616C4"/>
    <w:rsid w:val="00481248"/>
    <w:rsid w:val="004B7B44"/>
    <w:rsid w:val="004D09D2"/>
    <w:rsid w:val="004F7AA0"/>
    <w:rsid w:val="00507380"/>
    <w:rsid w:val="0050791F"/>
    <w:rsid w:val="005256F2"/>
    <w:rsid w:val="00531475"/>
    <w:rsid w:val="00547AFD"/>
    <w:rsid w:val="00566747"/>
    <w:rsid w:val="00567B7F"/>
    <w:rsid w:val="0057073B"/>
    <w:rsid w:val="005917DE"/>
    <w:rsid w:val="0059674A"/>
    <w:rsid w:val="005A36E3"/>
    <w:rsid w:val="005B2A34"/>
    <w:rsid w:val="005F313C"/>
    <w:rsid w:val="00600412"/>
    <w:rsid w:val="00606A01"/>
    <w:rsid w:val="0061275F"/>
    <w:rsid w:val="00615616"/>
    <w:rsid w:val="0062155B"/>
    <w:rsid w:val="00622DA9"/>
    <w:rsid w:val="00625FAD"/>
    <w:rsid w:val="00633050"/>
    <w:rsid w:val="00640F0C"/>
    <w:rsid w:val="0067295A"/>
    <w:rsid w:val="00681624"/>
    <w:rsid w:val="006903C4"/>
    <w:rsid w:val="006A51BC"/>
    <w:rsid w:val="006E6F40"/>
    <w:rsid w:val="006F791B"/>
    <w:rsid w:val="007102A0"/>
    <w:rsid w:val="00745030"/>
    <w:rsid w:val="00752300"/>
    <w:rsid w:val="0076586D"/>
    <w:rsid w:val="007C5FBB"/>
    <w:rsid w:val="007D1AD2"/>
    <w:rsid w:val="007D779A"/>
    <w:rsid w:val="007E7F5B"/>
    <w:rsid w:val="0080081C"/>
    <w:rsid w:val="008069AA"/>
    <w:rsid w:val="00824A6D"/>
    <w:rsid w:val="00832F4D"/>
    <w:rsid w:val="008477DD"/>
    <w:rsid w:val="00870B94"/>
    <w:rsid w:val="00872A0A"/>
    <w:rsid w:val="0087337D"/>
    <w:rsid w:val="008961BB"/>
    <w:rsid w:val="008B1D94"/>
    <w:rsid w:val="008B284A"/>
    <w:rsid w:val="008C36A0"/>
    <w:rsid w:val="008E0E66"/>
    <w:rsid w:val="008E37A8"/>
    <w:rsid w:val="008F0756"/>
    <w:rsid w:val="009062C9"/>
    <w:rsid w:val="00907038"/>
    <w:rsid w:val="009136B9"/>
    <w:rsid w:val="00921E92"/>
    <w:rsid w:val="009255F8"/>
    <w:rsid w:val="0092607C"/>
    <w:rsid w:val="009260AE"/>
    <w:rsid w:val="009404B2"/>
    <w:rsid w:val="00943322"/>
    <w:rsid w:val="00964991"/>
    <w:rsid w:val="00981BA0"/>
    <w:rsid w:val="0099410F"/>
    <w:rsid w:val="009B4D30"/>
    <w:rsid w:val="009C19E1"/>
    <w:rsid w:val="009C229D"/>
    <w:rsid w:val="009C6137"/>
    <w:rsid w:val="009C7D1C"/>
    <w:rsid w:val="009D1294"/>
    <w:rsid w:val="00A063D6"/>
    <w:rsid w:val="00A06E3E"/>
    <w:rsid w:val="00A12860"/>
    <w:rsid w:val="00A339A5"/>
    <w:rsid w:val="00A4275D"/>
    <w:rsid w:val="00A44551"/>
    <w:rsid w:val="00A4713A"/>
    <w:rsid w:val="00A60E69"/>
    <w:rsid w:val="00A61586"/>
    <w:rsid w:val="00A64BE2"/>
    <w:rsid w:val="00A864B4"/>
    <w:rsid w:val="00AD250B"/>
    <w:rsid w:val="00AE3AA3"/>
    <w:rsid w:val="00AF7CFB"/>
    <w:rsid w:val="00B1380A"/>
    <w:rsid w:val="00B17492"/>
    <w:rsid w:val="00B21FAD"/>
    <w:rsid w:val="00B25DBB"/>
    <w:rsid w:val="00B37BB0"/>
    <w:rsid w:val="00B4597B"/>
    <w:rsid w:val="00B62032"/>
    <w:rsid w:val="00B744FF"/>
    <w:rsid w:val="00B749AA"/>
    <w:rsid w:val="00B900C4"/>
    <w:rsid w:val="00BB0EA6"/>
    <w:rsid w:val="00BB1683"/>
    <w:rsid w:val="00BB1DC1"/>
    <w:rsid w:val="00BB237F"/>
    <w:rsid w:val="00BB7DA2"/>
    <w:rsid w:val="00BC230A"/>
    <w:rsid w:val="00BC419B"/>
    <w:rsid w:val="00BD18E1"/>
    <w:rsid w:val="00BD2FFA"/>
    <w:rsid w:val="00BE0CCE"/>
    <w:rsid w:val="00C3475F"/>
    <w:rsid w:val="00C614E8"/>
    <w:rsid w:val="00C62630"/>
    <w:rsid w:val="00C627DC"/>
    <w:rsid w:val="00C63C47"/>
    <w:rsid w:val="00C90489"/>
    <w:rsid w:val="00CA2938"/>
    <w:rsid w:val="00CB0142"/>
    <w:rsid w:val="00CB0CC9"/>
    <w:rsid w:val="00CB1D3C"/>
    <w:rsid w:val="00CB6054"/>
    <w:rsid w:val="00CC791A"/>
    <w:rsid w:val="00CD6899"/>
    <w:rsid w:val="00CE0D1B"/>
    <w:rsid w:val="00CF11C1"/>
    <w:rsid w:val="00D063A4"/>
    <w:rsid w:val="00D2708D"/>
    <w:rsid w:val="00D270A5"/>
    <w:rsid w:val="00D3048B"/>
    <w:rsid w:val="00D363A5"/>
    <w:rsid w:val="00D464F6"/>
    <w:rsid w:val="00D47030"/>
    <w:rsid w:val="00DA7D2E"/>
    <w:rsid w:val="00DC2FA9"/>
    <w:rsid w:val="00DC40AB"/>
    <w:rsid w:val="00DD28F7"/>
    <w:rsid w:val="00DD368B"/>
    <w:rsid w:val="00E10CE5"/>
    <w:rsid w:val="00E13CBE"/>
    <w:rsid w:val="00E82B0B"/>
    <w:rsid w:val="00E92249"/>
    <w:rsid w:val="00E929E3"/>
    <w:rsid w:val="00E97C50"/>
    <w:rsid w:val="00EB3FA8"/>
    <w:rsid w:val="00EE5715"/>
    <w:rsid w:val="00EF42AD"/>
    <w:rsid w:val="00EF678B"/>
    <w:rsid w:val="00F17B7E"/>
    <w:rsid w:val="00F2469F"/>
    <w:rsid w:val="00F45896"/>
    <w:rsid w:val="00F45A05"/>
    <w:rsid w:val="00F66B07"/>
    <w:rsid w:val="00F7717D"/>
    <w:rsid w:val="00F822F1"/>
    <w:rsid w:val="00FA5AEB"/>
    <w:rsid w:val="00FA7D61"/>
    <w:rsid w:val="00FD0C5F"/>
    <w:rsid w:val="00FD759E"/>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22E93CB"/>
  <w15:docId w15:val="{7889DE00-C8FD-4538-97BB-C83417F26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7C5FBB"/>
    <w:pPr>
      <w:spacing w:after="0" w:line="240" w:lineRule="auto"/>
      <w:jc w:val="both"/>
    </w:pPr>
    <w:rPr>
      <w:rFonts w:ascii="Times New Roman" w:eastAsia="Times New Roman" w:hAnsi="Times New Roman" w:cs="Times New Roman"/>
      <w:sz w:val="18"/>
      <w:szCs w:val="24"/>
      <w:lang w:eastAsia="es-ES"/>
    </w:rPr>
  </w:style>
  <w:style w:type="paragraph" w:styleId="Ttulo1">
    <w:name w:val="heading 1"/>
    <w:aliases w:val="ADYNA_Título 01"/>
    <w:basedOn w:val="Normal"/>
    <w:next w:val="Normal"/>
    <w:link w:val="Ttulo1Car"/>
    <w:uiPriority w:val="9"/>
    <w:qFormat/>
    <w:rsid w:val="008E37A8"/>
    <w:pPr>
      <w:widowControl w:val="0"/>
      <w:numPr>
        <w:numId w:val="8"/>
      </w:numPr>
      <w:ind w:left="284" w:hanging="284"/>
      <w:jc w:val="left"/>
      <w:outlineLvl w:val="0"/>
    </w:pPr>
    <w:rPr>
      <w:rFonts w:eastAsiaTheme="majorEastAsia" w:cstheme="majorBidi"/>
      <w:b/>
      <w:bCs/>
      <w:sz w:val="20"/>
      <w:szCs w:val="20"/>
      <w:lang w:val="es-ES_tradnl"/>
    </w:rPr>
  </w:style>
  <w:style w:type="paragraph" w:styleId="Ttulo2">
    <w:name w:val="heading 2"/>
    <w:aliases w:val="ADYNA_Título 2"/>
    <w:basedOn w:val="Normal"/>
    <w:next w:val="Normal"/>
    <w:link w:val="Ttulo2Car"/>
    <w:qFormat/>
    <w:rsid w:val="00640F0C"/>
    <w:pPr>
      <w:keepNext/>
      <w:numPr>
        <w:ilvl w:val="1"/>
        <w:numId w:val="8"/>
      </w:numPr>
      <w:ind w:left="426" w:hanging="426"/>
      <w:outlineLvl w:val="1"/>
    </w:pPr>
    <w:rPr>
      <w:b/>
      <w:bCs/>
      <w:i/>
      <w:lang w:val="es-ES_tradnl"/>
    </w:rPr>
  </w:style>
  <w:style w:type="paragraph" w:styleId="Ttulo3">
    <w:name w:val="heading 3"/>
    <w:aliases w:val="ADYNA_Título 3"/>
    <w:basedOn w:val="Normal"/>
    <w:next w:val="Normal"/>
    <w:link w:val="Ttulo3Car"/>
    <w:uiPriority w:val="9"/>
    <w:unhideWhenUsed/>
    <w:qFormat/>
    <w:rsid w:val="00640F0C"/>
    <w:pPr>
      <w:keepNext/>
      <w:keepLines/>
      <w:numPr>
        <w:ilvl w:val="2"/>
        <w:numId w:val="8"/>
      </w:numPr>
      <w:spacing w:before="200"/>
      <w:ind w:left="567" w:hanging="567"/>
      <w:outlineLvl w:val="2"/>
    </w:pPr>
    <w:rPr>
      <w:rFonts w:eastAsiaTheme="majorEastAsia" w:cstheme="majorBidi"/>
      <w:bCs/>
    </w:rPr>
  </w:style>
  <w:style w:type="paragraph" w:styleId="Ttulo4">
    <w:name w:val="heading 4"/>
    <w:aliases w:val="ADYNA_Título 4"/>
    <w:basedOn w:val="Normal"/>
    <w:next w:val="Normal"/>
    <w:link w:val="Ttulo4Car"/>
    <w:uiPriority w:val="9"/>
    <w:semiHidden/>
    <w:unhideWhenUsed/>
    <w:qFormat/>
    <w:rsid w:val="007C5FBB"/>
    <w:pPr>
      <w:keepNext/>
      <w:keepLines/>
      <w:numPr>
        <w:ilvl w:val="3"/>
        <w:numId w:val="8"/>
      </w:numPr>
      <w:spacing w:before="200"/>
      <w:outlineLvl w:val="3"/>
    </w:pPr>
    <w:rPr>
      <w:rFonts w:asciiTheme="majorHAnsi" w:eastAsiaTheme="majorEastAsia" w:hAnsiTheme="majorHAnsi" w:cstheme="majorBidi"/>
      <w:b/>
      <w:bCs/>
      <w:i/>
      <w:iCs/>
    </w:rPr>
  </w:style>
  <w:style w:type="paragraph" w:styleId="Ttulo5">
    <w:name w:val="heading 5"/>
    <w:basedOn w:val="Normal"/>
    <w:next w:val="Normal"/>
    <w:link w:val="Ttulo5Car"/>
    <w:uiPriority w:val="9"/>
    <w:semiHidden/>
    <w:unhideWhenUsed/>
    <w:qFormat/>
    <w:rsid w:val="00FD759E"/>
    <w:pPr>
      <w:keepNext/>
      <w:keepLines/>
      <w:numPr>
        <w:ilvl w:val="4"/>
        <w:numId w:val="8"/>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D759E"/>
    <w:pPr>
      <w:keepNext/>
      <w:keepLines/>
      <w:numPr>
        <w:ilvl w:val="5"/>
        <w:numId w:val="8"/>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D759E"/>
    <w:pPr>
      <w:keepNext/>
      <w:keepLines/>
      <w:numPr>
        <w:ilvl w:val="6"/>
        <w:numId w:val="8"/>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D759E"/>
    <w:pPr>
      <w:keepNext/>
      <w:keepLines/>
      <w:numPr>
        <w:ilvl w:val="7"/>
        <w:numId w:val="8"/>
      </w:numPr>
      <w:spacing w:before="200"/>
      <w:outlineLvl w:val="7"/>
    </w:pPr>
    <w:rPr>
      <w:rFonts w:asciiTheme="majorHAnsi" w:eastAsiaTheme="majorEastAsia" w:hAnsiTheme="majorHAnsi" w:cstheme="majorBidi"/>
      <w:color w:val="404040" w:themeColor="text1" w:themeTint="BF"/>
      <w:szCs w:val="20"/>
    </w:rPr>
  </w:style>
  <w:style w:type="paragraph" w:styleId="Ttulo9">
    <w:name w:val="heading 9"/>
    <w:basedOn w:val="Normal"/>
    <w:next w:val="Normal"/>
    <w:link w:val="Ttulo9Car"/>
    <w:uiPriority w:val="9"/>
    <w:semiHidden/>
    <w:unhideWhenUsed/>
    <w:qFormat/>
    <w:rsid w:val="00FD759E"/>
    <w:pPr>
      <w:keepNext/>
      <w:keepLines/>
      <w:numPr>
        <w:ilvl w:val="8"/>
        <w:numId w:val="8"/>
      </w:numPr>
      <w:spacing w:before="200"/>
      <w:outlineLvl w:val="8"/>
    </w:pPr>
    <w:rPr>
      <w:rFonts w:asciiTheme="majorHAnsi" w:eastAsiaTheme="majorEastAsia" w:hAnsiTheme="majorHAnsi" w:cstheme="majorBidi"/>
      <w:i/>
      <w:iCs/>
      <w:color w:val="404040" w:themeColor="text1" w:themeTint="BF"/>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ADYNA_Título 2 Car"/>
    <w:basedOn w:val="Fuentedeprrafopredeter"/>
    <w:link w:val="Ttulo2"/>
    <w:rsid w:val="00640F0C"/>
    <w:rPr>
      <w:rFonts w:ascii="Times New Roman" w:eastAsia="Times New Roman" w:hAnsi="Times New Roman" w:cs="Times New Roman"/>
      <w:b/>
      <w:bCs/>
      <w:i/>
      <w:sz w:val="18"/>
      <w:szCs w:val="24"/>
      <w:lang w:val="es-ES_tradnl" w:eastAsia="es-ES"/>
    </w:rPr>
  </w:style>
  <w:style w:type="paragraph" w:styleId="Encabezado">
    <w:name w:val="header"/>
    <w:basedOn w:val="Normal"/>
    <w:link w:val="EncabezadoCar"/>
    <w:uiPriority w:val="99"/>
    <w:unhideWhenUsed/>
    <w:rsid w:val="0099410F"/>
    <w:pPr>
      <w:tabs>
        <w:tab w:val="center" w:pos="4252"/>
        <w:tab w:val="right" w:pos="8504"/>
      </w:tabs>
    </w:pPr>
  </w:style>
  <w:style w:type="character" w:customStyle="1" w:styleId="EncabezadoCar">
    <w:name w:val="Encabezado Car"/>
    <w:basedOn w:val="Fuentedeprrafopredeter"/>
    <w:link w:val="Encabezado"/>
    <w:uiPriority w:val="99"/>
    <w:rsid w:val="0099410F"/>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99410F"/>
    <w:pPr>
      <w:tabs>
        <w:tab w:val="center" w:pos="4252"/>
        <w:tab w:val="right" w:pos="8504"/>
      </w:tabs>
    </w:pPr>
  </w:style>
  <w:style w:type="character" w:customStyle="1" w:styleId="PiedepginaCar">
    <w:name w:val="Pie de página Car"/>
    <w:basedOn w:val="Fuentedeprrafopredeter"/>
    <w:link w:val="Piedepgina"/>
    <w:uiPriority w:val="99"/>
    <w:rsid w:val="0099410F"/>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9410F"/>
    <w:rPr>
      <w:rFonts w:ascii="Lucida Grande" w:hAnsi="Lucida Grande" w:cs="Lucida Grande"/>
      <w:szCs w:val="18"/>
    </w:rPr>
  </w:style>
  <w:style w:type="character" w:customStyle="1" w:styleId="TextodegloboCar">
    <w:name w:val="Texto de globo Car"/>
    <w:basedOn w:val="Fuentedeprrafopredeter"/>
    <w:link w:val="Textodeglobo"/>
    <w:uiPriority w:val="99"/>
    <w:semiHidden/>
    <w:rsid w:val="0099410F"/>
    <w:rPr>
      <w:rFonts w:ascii="Lucida Grande" w:eastAsia="Times New Roman" w:hAnsi="Lucida Grande" w:cs="Lucida Grande"/>
      <w:sz w:val="18"/>
      <w:szCs w:val="18"/>
      <w:lang w:eastAsia="es-ES"/>
    </w:rPr>
  </w:style>
  <w:style w:type="paragraph" w:styleId="Prrafodelista">
    <w:name w:val="List Paragraph"/>
    <w:basedOn w:val="Normal"/>
    <w:uiPriority w:val="34"/>
    <w:rsid w:val="007C5FBB"/>
    <w:pPr>
      <w:ind w:left="720"/>
      <w:contextualSpacing/>
    </w:pPr>
    <w:rPr>
      <w:color w:val="00B050"/>
    </w:rPr>
  </w:style>
  <w:style w:type="table" w:styleId="Tablaconcuadrcula">
    <w:name w:val="Table Grid"/>
    <w:basedOn w:val="Tablanormal"/>
    <w:uiPriority w:val="59"/>
    <w:rsid w:val="00A6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633050"/>
    <w:rPr>
      <w:color w:val="0000FF"/>
      <w:u w:val="single"/>
    </w:rPr>
  </w:style>
  <w:style w:type="character" w:customStyle="1" w:styleId="Ttulo1Car">
    <w:name w:val="Título 1 Car"/>
    <w:aliases w:val="ADYNA_Título 01 Car"/>
    <w:basedOn w:val="Fuentedeprrafopredeter"/>
    <w:link w:val="Ttulo1"/>
    <w:uiPriority w:val="9"/>
    <w:rsid w:val="008E37A8"/>
    <w:rPr>
      <w:rFonts w:ascii="Times New Roman" w:eastAsiaTheme="majorEastAsia" w:hAnsi="Times New Roman" w:cstheme="majorBidi"/>
      <w:b/>
      <w:bCs/>
      <w:sz w:val="20"/>
      <w:szCs w:val="20"/>
      <w:lang w:val="es-ES_tradnl" w:eastAsia="es-ES"/>
    </w:rPr>
  </w:style>
  <w:style w:type="character" w:customStyle="1" w:styleId="Ttulo3Car">
    <w:name w:val="Título 3 Car"/>
    <w:aliases w:val="ADYNA_Título 3 Car"/>
    <w:basedOn w:val="Fuentedeprrafopredeter"/>
    <w:link w:val="Ttulo3"/>
    <w:uiPriority w:val="9"/>
    <w:rsid w:val="00640F0C"/>
    <w:rPr>
      <w:rFonts w:ascii="Times New Roman" w:eastAsiaTheme="majorEastAsia" w:hAnsi="Times New Roman" w:cstheme="majorBidi"/>
      <w:bCs/>
      <w:sz w:val="18"/>
      <w:szCs w:val="24"/>
      <w:lang w:eastAsia="es-ES"/>
    </w:rPr>
  </w:style>
  <w:style w:type="character" w:customStyle="1" w:styleId="Ttulo4Car">
    <w:name w:val="Título 4 Car"/>
    <w:aliases w:val="ADYNA_Título 4 Car"/>
    <w:basedOn w:val="Fuentedeprrafopredeter"/>
    <w:link w:val="Ttulo4"/>
    <w:uiPriority w:val="9"/>
    <w:semiHidden/>
    <w:rsid w:val="007C5FBB"/>
    <w:rPr>
      <w:rFonts w:asciiTheme="majorHAnsi" w:eastAsiaTheme="majorEastAsia" w:hAnsiTheme="majorHAnsi" w:cstheme="majorBidi"/>
      <w:b/>
      <w:bCs/>
      <w:i/>
      <w:iCs/>
      <w:color w:val="0070C0"/>
      <w:sz w:val="20"/>
      <w:szCs w:val="24"/>
      <w:lang w:eastAsia="es-ES"/>
    </w:rPr>
  </w:style>
  <w:style w:type="character" w:customStyle="1" w:styleId="Ttulo5Car">
    <w:name w:val="Título 5 Car"/>
    <w:basedOn w:val="Fuentedeprrafopredeter"/>
    <w:link w:val="Ttulo5"/>
    <w:uiPriority w:val="9"/>
    <w:semiHidden/>
    <w:rsid w:val="00FD759E"/>
    <w:rPr>
      <w:rFonts w:asciiTheme="majorHAnsi" w:eastAsiaTheme="majorEastAsia" w:hAnsiTheme="majorHAnsi" w:cstheme="majorBidi"/>
      <w:color w:val="243F60" w:themeColor="accent1" w:themeShade="7F"/>
      <w:sz w:val="24"/>
      <w:szCs w:val="24"/>
      <w:lang w:eastAsia="es-ES"/>
    </w:rPr>
  </w:style>
  <w:style w:type="character" w:customStyle="1" w:styleId="Ttulo6Car">
    <w:name w:val="Título 6 Car"/>
    <w:basedOn w:val="Fuentedeprrafopredeter"/>
    <w:link w:val="Ttulo6"/>
    <w:uiPriority w:val="9"/>
    <w:semiHidden/>
    <w:rsid w:val="00FD759E"/>
    <w:rPr>
      <w:rFonts w:asciiTheme="majorHAnsi" w:eastAsiaTheme="majorEastAsia" w:hAnsiTheme="majorHAnsi" w:cstheme="majorBidi"/>
      <w:i/>
      <w:iCs/>
      <w:color w:val="243F60" w:themeColor="accent1" w:themeShade="7F"/>
      <w:sz w:val="24"/>
      <w:szCs w:val="24"/>
      <w:lang w:eastAsia="es-ES"/>
    </w:rPr>
  </w:style>
  <w:style w:type="character" w:customStyle="1" w:styleId="Ttulo7Car">
    <w:name w:val="Título 7 Car"/>
    <w:basedOn w:val="Fuentedeprrafopredeter"/>
    <w:link w:val="Ttulo7"/>
    <w:uiPriority w:val="9"/>
    <w:semiHidden/>
    <w:rsid w:val="00FD759E"/>
    <w:rPr>
      <w:rFonts w:asciiTheme="majorHAnsi" w:eastAsiaTheme="majorEastAsia" w:hAnsiTheme="majorHAnsi" w:cstheme="majorBidi"/>
      <w:i/>
      <w:iCs/>
      <w:color w:val="404040" w:themeColor="text1" w:themeTint="BF"/>
      <w:sz w:val="24"/>
      <w:szCs w:val="24"/>
      <w:lang w:eastAsia="es-ES"/>
    </w:rPr>
  </w:style>
  <w:style w:type="character" w:customStyle="1" w:styleId="Ttulo8Car">
    <w:name w:val="Título 8 Car"/>
    <w:basedOn w:val="Fuentedeprrafopredeter"/>
    <w:link w:val="Ttulo8"/>
    <w:uiPriority w:val="9"/>
    <w:semiHidden/>
    <w:rsid w:val="00FD759E"/>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FD759E"/>
    <w:rPr>
      <w:rFonts w:asciiTheme="majorHAnsi" w:eastAsiaTheme="majorEastAsia" w:hAnsiTheme="majorHAnsi" w:cstheme="majorBidi"/>
      <w:i/>
      <w:iCs/>
      <w:color w:val="404040" w:themeColor="text1" w:themeTint="BF"/>
      <w:sz w:val="20"/>
      <w:szCs w:val="20"/>
      <w:lang w:eastAsia="es-ES"/>
    </w:rPr>
  </w:style>
  <w:style w:type="paragraph" w:customStyle="1" w:styleId="ADYNATituloArticulo">
    <w:name w:val="ADYNA_Titulo Articulo"/>
    <w:basedOn w:val="Normal"/>
    <w:qFormat/>
    <w:rsid w:val="00395217"/>
    <w:pPr>
      <w:jc w:val="center"/>
    </w:pPr>
    <w:rPr>
      <w:sz w:val="36"/>
      <w:szCs w:val="32"/>
      <w:lang w:val="en-US"/>
    </w:rPr>
  </w:style>
  <w:style w:type="paragraph" w:customStyle="1" w:styleId="ADYNAAutores">
    <w:name w:val="ADYNA_Autores"/>
    <w:basedOn w:val="Normal"/>
    <w:qFormat/>
    <w:rsid w:val="00395217"/>
    <w:pPr>
      <w:jc w:val="center"/>
    </w:pPr>
    <w:rPr>
      <w:sz w:val="26"/>
      <w:szCs w:val="20"/>
      <w:lang w:val="es-CO"/>
    </w:rPr>
  </w:style>
  <w:style w:type="character" w:styleId="Refdecomentario">
    <w:name w:val="annotation reference"/>
    <w:basedOn w:val="Fuentedeprrafopredeter"/>
    <w:uiPriority w:val="99"/>
    <w:semiHidden/>
    <w:unhideWhenUsed/>
    <w:rsid w:val="00B1380A"/>
    <w:rPr>
      <w:sz w:val="16"/>
      <w:szCs w:val="16"/>
    </w:rPr>
  </w:style>
  <w:style w:type="paragraph" w:styleId="Textocomentario">
    <w:name w:val="annotation text"/>
    <w:basedOn w:val="Normal"/>
    <w:link w:val="TextocomentarioCar"/>
    <w:uiPriority w:val="99"/>
    <w:semiHidden/>
    <w:unhideWhenUsed/>
    <w:rsid w:val="00B1380A"/>
    <w:rPr>
      <w:szCs w:val="20"/>
    </w:rPr>
  </w:style>
  <w:style w:type="character" w:customStyle="1" w:styleId="TextocomentarioCar">
    <w:name w:val="Texto comentario Car"/>
    <w:basedOn w:val="Fuentedeprrafopredeter"/>
    <w:link w:val="Textocomentario"/>
    <w:uiPriority w:val="99"/>
    <w:semiHidden/>
    <w:rsid w:val="00B1380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1380A"/>
    <w:rPr>
      <w:b/>
      <w:bCs/>
    </w:rPr>
  </w:style>
  <w:style w:type="character" w:customStyle="1" w:styleId="AsuntodelcomentarioCar">
    <w:name w:val="Asunto del comentario Car"/>
    <w:basedOn w:val="TextocomentarioCar"/>
    <w:link w:val="Asuntodelcomentario"/>
    <w:uiPriority w:val="99"/>
    <w:semiHidden/>
    <w:rsid w:val="00B1380A"/>
    <w:rPr>
      <w:rFonts w:ascii="Times New Roman" w:eastAsia="Times New Roman" w:hAnsi="Times New Roman" w:cs="Times New Roman"/>
      <w:b/>
      <w:bCs/>
      <w:sz w:val="20"/>
      <w:szCs w:val="20"/>
      <w:lang w:eastAsia="es-ES"/>
    </w:rPr>
  </w:style>
  <w:style w:type="character" w:styleId="Nmerodepgina">
    <w:name w:val="page number"/>
    <w:basedOn w:val="Fuentedeprrafopredeter"/>
    <w:uiPriority w:val="99"/>
    <w:semiHidden/>
    <w:unhideWhenUsed/>
    <w:rsid w:val="00372740"/>
  </w:style>
  <w:style w:type="character" w:styleId="Textodelmarcadordeposicin">
    <w:name w:val="Placeholder Text"/>
    <w:basedOn w:val="Fuentedeprrafopredeter"/>
    <w:uiPriority w:val="99"/>
    <w:semiHidden/>
    <w:rsid w:val="00752300"/>
    <w:rPr>
      <w:color w:val="808080"/>
    </w:rPr>
  </w:style>
  <w:style w:type="character" w:styleId="Textoennegrita">
    <w:name w:val="Strong"/>
    <w:basedOn w:val="Fuentedeprrafopredeter"/>
    <w:uiPriority w:val="22"/>
    <w:rsid w:val="003B6567"/>
    <w:rPr>
      <w:b/>
      <w:bCs/>
    </w:rPr>
  </w:style>
  <w:style w:type="character" w:customStyle="1" w:styleId="negritarojo">
    <w:name w:val="negritarojo"/>
    <w:basedOn w:val="Fuentedeprrafopredeter"/>
    <w:rsid w:val="003B6567"/>
  </w:style>
  <w:style w:type="character" w:customStyle="1" w:styleId="apple-converted-space">
    <w:name w:val="apple-converted-space"/>
    <w:basedOn w:val="Fuentedeprrafopredeter"/>
    <w:rsid w:val="003B6567"/>
  </w:style>
  <w:style w:type="paragraph" w:styleId="NormalWeb">
    <w:name w:val="Normal (Web)"/>
    <w:basedOn w:val="Normal"/>
    <w:uiPriority w:val="99"/>
    <w:semiHidden/>
    <w:unhideWhenUsed/>
    <w:rsid w:val="00392545"/>
    <w:pPr>
      <w:spacing w:before="100" w:beforeAutospacing="1" w:after="100" w:afterAutospacing="1"/>
      <w:jc w:val="left"/>
    </w:pPr>
    <w:rPr>
      <w:sz w:val="24"/>
      <w:lang w:val="es-CO" w:eastAsia="es-CO"/>
    </w:rPr>
  </w:style>
  <w:style w:type="paragraph" w:customStyle="1" w:styleId="ADYNABibliografia">
    <w:name w:val="ADYNA_Bibliografia"/>
    <w:basedOn w:val="Normal"/>
    <w:qFormat/>
    <w:rsid w:val="00395217"/>
    <w:pPr>
      <w:spacing w:after="160"/>
    </w:pPr>
    <w:rPr>
      <w:sz w:val="16"/>
      <w:szCs w:val="20"/>
      <w:lang w:val="en-US"/>
    </w:rPr>
  </w:style>
  <w:style w:type="paragraph" w:styleId="Sinespaciado">
    <w:name w:val="No Spacing"/>
    <w:uiPriority w:val="1"/>
    <w:rsid w:val="007C5FBB"/>
    <w:pPr>
      <w:spacing w:after="0" w:line="240" w:lineRule="auto"/>
      <w:jc w:val="both"/>
    </w:pPr>
    <w:rPr>
      <w:rFonts w:ascii="Times New Roman" w:eastAsia="Times New Roman" w:hAnsi="Times New Roman" w:cs="Times New Roman"/>
      <w:color w:val="943634" w:themeColor="accent2" w:themeShade="BF"/>
      <w:sz w:val="20"/>
      <w:szCs w:val="24"/>
      <w:lang w:eastAsia="es-ES"/>
    </w:rPr>
  </w:style>
  <w:style w:type="character" w:styleId="nfasisintenso">
    <w:name w:val="Intense Emphasis"/>
    <w:basedOn w:val="Fuentedeprrafopredeter"/>
    <w:uiPriority w:val="21"/>
    <w:rsid w:val="007C5FBB"/>
    <w:rPr>
      <w:i/>
      <w:iCs/>
      <w:color w:val="00B050"/>
    </w:rPr>
  </w:style>
  <w:style w:type="paragraph" w:styleId="Citadestacada">
    <w:name w:val="Intense Quote"/>
    <w:basedOn w:val="Normal"/>
    <w:next w:val="Normal"/>
    <w:link w:val="CitadestacadaCar"/>
    <w:uiPriority w:val="30"/>
    <w:rsid w:val="007C5FBB"/>
    <w:pPr>
      <w:pBdr>
        <w:top w:val="single" w:sz="4" w:space="10" w:color="4F81BD" w:themeColor="accent1"/>
        <w:bottom w:val="single" w:sz="4" w:space="10" w:color="4F81BD" w:themeColor="accent1"/>
      </w:pBdr>
      <w:spacing w:before="360" w:after="360"/>
      <w:ind w:left="864" w:right="864"/>
      <w:jc w:val="center"/>
    </w:pPr>
    <w:rPr>
      <w:i/>
      <w:iCs/>
      <w:color w:val="E36C0A" w:themeColor="accent6" w:themeShade="BF"/>
    </w:rPr>
  </w:style>
  <w:style w:type="character" w:customStyle="1" w:styleId="CitadestacadaCar">
    <w:name w:val="Cita destacada Car"/>
    <w:basedOn w:val="Fuentedeprrafopredeter"/>
    <w:link w:val="Citadestacada"/>
    <w:uiPriority w:val="30"/>
    <w:rsid w:val="007C5FBB"/>
    <w:rPr>
      <w:rFonts w:ascii="Times New Roman" w:eastAsia="Times New Roman" w:hAnsi="Times New Roman" w:cs="Times New Roman"/>
      <w:i/>
      <w:iCs/>
      <w:color w:val="E36C0A" w:themeColor="accent6" w:themeShade="BF"/>
      <w:sz w:val="20"/>
      <w:szCs w:val="24"/>
      <w:lang w:eastAsia="es-ES"/>
    </w:rPr>
  </w:style>
  <w:style w:type="paragraph" w:customStyle="1" w:styleId="ADYNAAbstrac">
    <w:name w:val="ADYNA_Abstrac"/>
    <w:basedOn w:val="Normal"/>
    <w:qFormat/>
    <w:rsid w:val="007C5FBB"/>
    <w:rPr>
      <w:lang w:val="en-US"/>
    </w:rPr>
  </w:style>
  <w:style w:type="paragraph" w:customStyle="1" w:styleId="ADYNATitulo1">
    <w:name w:val="ADYNA_Titulo 1"/>
    <w:basedOn w:val="Ttulo1"/>
    <w:rsid w:val="007C5FBB"/>
    <w:pPr>
      <w:numPr>
        <w:numId w:val="0"/>
      </w:numPr>
    </w:pPr>
  </w:style>
  <w:style w:type="paragraph" w:customStyle="1" w:styleId="ADYNATitulo2">
    <w:name w:val="ADYNA_Titulo 2"/>
    <w:basedOn w:val="Ttulo2"/>
    <w:rsid w:val="007C5FBB"/>
    <w:pPr>
      <w:numPr>
        <w:ilvl w:val="0"/>
        <w:numId w:val="0"/>
      </w:numPr>
      <w:ind w:left="576" w:hanging="576"/>
    </w:pPr>
    <w:rPr>
      <w:lang w:val="en-US"/>
    </w:rPr>
  </w:style>
  <w:style w:type="paragraph" w:customStyle="1" w:styleId="ADYNATitulo3">
    <w:name w:val="ADYNA_Titulo 3"/>
    <w:basedOn w:val="Ttulo2"/>
    <w:rsid w:val="007C5FBB"/>
    <w:pPr>
      <w:numPr>
        <w:ilvl w:val="0"/>
        <w:numId w:val="0"/>
      </w:numPr>
      <w:ind w:left="576" w:hanging="576"/>
    </w:pPr>
    <w:rPr>
      <w:b w:val="0"/>
      <w:i w:val="0"/>
      <w:lang w:val="en-US"/>
    </w:rPr>
  </w:style>
  <w:style w:type="paragraph" w:customStyle="1" w:styleId="ADYNATabla">
    <w:name w:val="ADYNA_Tabla"/>
    <w:basedOn w:val="Normal"/>
    <w:rsid w:val="007C5FBB"/>
    <w:rPr>
      <w:sz w:val="16"/>
      <w:szCs w:val="20"/>
      <w:lang w:val="en-US"/>
    </w:rPr>
  </w:style>
  <w:style w:type="paragraph" w:customStyle="1" w:styleId="ADYNAFiliacion">
    <w:name w:val="ADYNA_Filiacion"/>
    <w:basedOn w:val="Normal"/>
    <w:rsid w:val="007C5FBB"/>
    <w:pPr>
      <w:jc w:val="center"/>
    </w:pPr>
    <w:rPr>
      <w:i/>
      <w:sz w:val="16"/>
      <w:szCs w:val="20"/>
      <w:lang w:val="es-ES_tradnl"/>
    </w:rPr>
  </w:style>
  <w:style w:type="paragraph" w:customStyle="1" w:styleId="ADYNACVAutores">
    <w:name w:val="ADYNA_CV Autores"/>
    <w:basedOn w:val="Normal"/>
    <w:rsid w:val="007C5FBB"/>
    <w:rPr>
      <w:sz w:val="16"/>
      <w:szCs w:val="20"/>
      <w:lang w:val="en-US"/>
    </w:rPr>
  </w:style>
  <w:style w:type="paragraph" w:customStyle="1" w:styleId="ADYNAPiePagina">
    <w:name w:val="ADYNA_Pie Pagina"/>
    <w:basedOn w:val="ADYNATituloArticulo"/>
    <w:rsid w:val="0080081C"/>
    <w:pPr>
      <w:spacing w:before="200"/>
      <w:jc w:val="left"/>
    </w:pPr>
    <w:rPr>
      <w:sz w:val="16"/>
      <w:szCs w:val="16"/>
      <w:lang w:val="es-CO"/>
    </w:rPr>
  </w:style>
  <w:style w:type="paragraph" w:customStyle="1" w:styleId="ADYNANormal">
    <w:name w:val="ADYNA_Normal"/>
    <w:basedOn w:val="Normal"/>
    <w:rsid w:val="002611B1"/>
    <w:pPr>
      <w:ind w:firstLine="284"/>
    </w:pPr>
    <w:rPr>
      <w:sz w:val="20"/>
      <w:szCs w:val="20"/>
      <w:lang w:val="en-US"/>
    </w:rPr>
  </w:style>
  <w:style w:type="paragraph" w:customStyle="1" w:styleId="TituloArticulo">
    <w:name w:val="Titulo Articulo"/>
    <w:basedOn w:val="Normal"/>
    <w:qFormat/>
    <w:rsid w:val="00EB3FA8"/>
    <w:pPr>
      <w:jc w:val="center"/>
    </w:pPr>
    <w:rPr>
      <w:sz w:val="36"/>
      <w:szCs w:val="32"/>
      <w:lang w:val="en-US"/>
    </w:rPr>
  </w:style>
  <w:style w:type="character" w:customStyle="1" w:styleId="libx-autolink">
    <w:name w:val="libx-autolink"/>
    <w:basedOn w:val="Fuentedeprrafopredeter"/>
    <w:rsid w:val="004020BD"/>
  </w:style>
  <w:style w:type="character" w:styleId="nfasis">
    <w:name w:val="Emphasis"/>
    <w:basedOn w:val="Fuentedeprrafopredeter"/>
    <w:uiPriority w:val="20"/>
    <w:qFormat/>
    <w:rsid w:val="004020BD"/>
    <w:rPr>
      <w:i/>
      <w:iCs/>
    </w:rPr>
  </w:style>
  <w:style w:type="paragraph" w:customStyle="1" w:styleId="Abstract">
    <w:name w:val="Abstract"/>
    <w:basedOn w:val="Normal"/>
    <w:next w:val="Normal"/>
    <w:rsid w:val="00BB1DC1"/>
    <w:pPr>
      <w:spacing w:before="20"/>
      <w:ind w:firstLine="240"/>
    </w:pPr>
    <w:rPr>
      <w:b/>
      <w:szCs w:val="20"/>
      <w:lang w:val="en-US" w:eastAsia="en-US"/>
    </w:rPr>
  </w:style>
  <w:style w:type="paragraph" w:customStyle="1" w:styleId="IndexTerms">
    <w:name w:val="IndexTerms"/>
    <w:basedOn w:val="Normal"/>
    <w:next w:val="Normal"/>
    <w:rsid w:val="00BB1DC1"/>
    <w:pPr>
      <w:ind w:firstLine="240"/>
    </w:pPr>
    <w:rPr>
      <w:b/>
      <w:szCs w:val="20"/>
      <w:lang w:val="en-US" w:eastAsia="en-US"/>
    </w:rPr>
  </w:style>
  <w:style w:type="paragraph" w:customStyle="1" w:styleId="Text">
    <w:name w:val="Text"/>
    <w:basedOn w:val="Normal"/>
    <w:rsid w:val="00B62032"/>
    <w:pPr>
      <w:widowControl w:val="0"/>
      <w:autoSpaceDE w:val="0"/>
      <w:autoSpaceDN w:val="0"/>
      <w:spacing w:line="252" w:lineRule="auto"/>
      <w:ind w:firstLine="202"/>
    </w:pPr>
    <w:rPr>
      <w:sz w:val="20"/>
      <w:szCs w:val="20"/>
      <w:lang w:val="en-US" w:eastAsia="en-US"/>
    </w:rPr>
  </w:style>
  <w:style w:type="paragraph" w:customStyle="1" w:styleId="FigureCaption">
    <w:name w:val="Figure Caption"/>
    <w:basedOn w:val="Normal"/>
    <w:rsid w:val="00B62032"/>
    <w:pPr>
      <w:autoSpaceDE w:val="0"/>
      <w:autoSpaceDN w:val="0"/>
    </w:pPr>
    <w:rPr>
      <w:sz w:val="16"/>
      <w:szCs w:val="16"/>
      <w:lang w:val="en-US" w:eastAsia="en-US"/>
    </w:rPr>
  </w:style>
  <w:style w:type="paragraph" w:customStyle="1" w:styleId="ReferenceHead">
    <w:name w:val="Reference Head"/>
    <w:basedOn w:val="Ttulo1"/>
    <w:rsid w:val="00B62032"/>
    <w:pPr>
      <w:keepNext/>
      <w:widowControl/>
      <w:numPr>
        <w:numId w:val="0"/>
      </w:numPr>
      <w:autoSpaceDE w:val="0"/>
      <w:autoSpaceDN w:val="0"/>
      <w:spacing w:before="240" w:after="80"/>
      <w:jc w:val="center"/>
    </w:pPr>
    <w:rPr>
      <w:rFonts w:eastAsia="Times New Roman" w:cs="Times New Roman"/>
      <w:b w:val="0"/>
      <w:bCs w:val="0"/>
      <w:smallCaps/>
      <w:kern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868290">
      <w:bodyDiv w:val="1"/>
      <w:marLeft w:val="0"/>
      <w:marRight w:val="0"/>
      <w:marTop w:val="0"/>
      <w:marBottom w:val="0"/>
      <w:divBdr>
        <w:top w:val="none" w:sz="0" w:space="0" w:color="auto"/>
        <w:left w:val="none" w:sz="0" w:space="0" w:color="auto"/>
        <w:bottom w:val="none" w:sz="0" w:space="0" w:color="auto"/>
        <w:right w:val="none" w:sz="0" w:space="0" w:color="auto"/>
      </w:divBdr>
      <w:divsChild>
        <w:div w:id="1406224876">
          <w:marLeft w:val="0"/>
          <w:marRight w:val="0"/>
          <w:marTop w:val="0"/>
          <w:marBottom w:val="0"/>
          <w:divBdr>
            <w:top w:val="none" w:sz="0" w:space="0" w:color="auto"/>
            <w:left w:val="none" w:sz="0" w:space="0" w:color="auto"/>
            <w:bottom w:val="none" w:sz="0" w:space="0" w:color="auto"/>
            <w:right w:val="none" w:sz="0" w:space="0" w:color="auto"/>
          </w:divBdr>
          <w:divsChild>
            <w:div w:id="1737707404">
              <w:marLeft w:val="0"/>
              <w:marRight w:val="0"/>
              <w:marTop w:val="0"/>
              <w:marBottom w:val="0"/>
              <w:divBdr>
                <w:top w:val="none" w:sz="0" w:space="0" w:color="auto"/>
                <w:left w:val="none" w:sz="0" w:space="0" w:color="auto"/>
                <w:bottom w:val="none" w:sz="0" w:space="0" w:color="auto"/>
                <w:right w:val="none" w:sz="0" w:space="0" w:color="auto"/>
              </w:divBdr>
              <w:divsChild>
                <w:div w:id="164785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1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yperlink" Target="http://www.unesco.org/education/WCHE2009/comunicado_es.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edx.org/about-us"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skilledup.com/blog/the-best-mooc-provider-a-review-of-coursera-udacity-and-edx/" TargetMode="Externa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chart" Target="charts/chart3.xml"/><Relationship Id="rId20" Type="http://schemas.openxmlformats.org/officeDocument/2006/relationships/hyperlink" Target="http://dx.doi.org/10.7238/rusc.v12i1.2253" TargetMode="Externa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cricardo@uninorte.edu.co" TargetMode="External"/><Relationship Id="rId5" Type="http://schemas.openxmlformats.org/officeDocument/2006/relationships/settings" Target="settings.xml"/><Relationship Id="rId15" Type="http://schemas.openxmlformats.org/officeDocument/2006/relationships/chart" Target="charts/chart2.xml"/><Relationship Id="rId23" Type="http://schemas.openxmlformats.org/officeDocument/2006/relationships/hyperlink" Target="mailto:cbaloco@uninorte.edu.co" TargetMode="External"/><Relationship Id="rId10" Type="http://schemas.openxmlformats.org/officeDocument/2006/relationships/footer" Target="footer1.xml"/><Relationship Id="rId19" Type="http://schemas.openxmlformats.org/officeDocument/2006/relationships/hyperlink" Target="http://www.itdl.org/journal/jan_05/article01.htm"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chart" Target="charts/chart1.xml"/><Relationship Id="rId22" Type="http://schemas.openxmlformats.org/officeDocument/2006/relationships/hyperlink" Target="http://www.mineducacion.gov.co/sistemasdeinformacion/1735/articles-213912_glosario.pdf"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Claudia\Documents\Mooc-en-Colombia.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Claudia\Documents\Mooc-en-Colombia.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Claudia\Documents\Mooc-en-Colombi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[Mooc-en-Colombia.xlsx]Hoja3!TablaDinámica14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O"/>
              <a:t>Cantidad de Cursos por Plataformas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Hoja3!$B$3</c:f>
              <c:strCache>
                <c:ptCount val="1"/>
                <c:pt idx="0">
                  <c:v>Total</c:v>
                </c:pt>
              </c:strCache>
            </c:strRef>
          </c:tx>
          <c:spPr>
            <a:solidFill>
              <a:schemeClr val="accent1"/>
            </a:solidFill>
            <a:ln>
              <a:noFill/>
            </a:ln>
            <a:effectLst/>
          </c:spPr>
          <c:invertIfNegative val="0"/>
          <c:cat>
            <c:strRef>
              <c:f>Hoja3!$A$4:$A$7</c:f>
              <c:strCache>
                <c:ptCount val="4"/>
                <c:pt idx="0">
                  <c:v>Coursera</c:v>
                </c:pt>
                <c:pt idx="1">
                  <c:v>edX</c:v>
                </c:pt>
                <c:pt idx="2">
                  <c:v>FutureLearn</c:v>
                </c:pt>
                <c:pt idx="3">
                  <c:v>Miríada X</c:v>
                </c:pt>
              </c:strCache>
            </c:strRef>
          </c:cat>
          <c:val>
            <c:numRef>
              <c:f>Hoja3!$B$4:$B$7</c:f>
              <c:numCache>
                <c:formatCode>General</c:formatCode>
                <c:ptCount val="4"/>
                <c:pt idx="0">
                  <c:v>20</c:v>
                </c:pt>
                <c:pt idx="1">
                  <c:v>16</c:v>
                </c:pt>
                <c:pt idx="2">
                  <c:v>4</c:v>
                </c:pt>
                <c:pt idx="3">
                  <c:v>9</c:v>
                </c:pt>
              </c:numCache>
            </c:numRef>
          </c:val>
          <c:extLst>
            <c:ext xmlns:c16="http://schemas.microsoft.com/office/drawing/2014/chart" uri="{C3380CC4-5D6E-409C-BE32-E72D297353CC}">
              <c16:uniqueId val="{00000000-D8D8-4FAD-900A-DC2490D2557F}"/>
            </c:ext>
          </c:extLst>
        </c:ser>
        <c:dLbls>
          <c:showLegendKey val="0"/>
          <c:showVal val="0"/>
          <c:showCatName val="0"/>
          <c:showSerName val="0"/>
          <c:showPercent val="0"/>
          <c:showBubbleSize val="0"/>
        </c:dLbls>
        <c:gapWidth val="219"/>
        <c:overlap val="-27"/>
        <c:axId val="227741728"/>
        <c:axId val="123117632"/>
      </c:barChart>
      <c:catAx>
        <c:axId val="227741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23117632"/>
        <c:crosses val="autoZero"/>
        <c:auto val="1"/>
        <c:lblAlgn val="ctr"/>
        <c:lblOffset val="100"/>
        <c:noMultiLvlLbl val="0"/>
      </c:catAx>
      <c:valAx>
        <c:axId val="123117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227741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[Mooc-en-Colombia.xlsx]Hoja6!TablaDinámica30</c:name>
    <c:fmtId val="-1"/>
  </c:pivotSource>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s-CO"/>
              <a:t>Cantidad de </a:t>
            </a:r>
          </a:p>
          <a:p>
            <a:pPr algn="ctr">
              <a:defRPr/>
            </a:pPr>
            <a:r>
              <a:rPr lang="es-CO"/>
              <a:t>Cursos por Area de Conocimiento</a:t>
            </a:r>
          </a:p>
        </c:rich>
      </c:tx>
      <c:layout>
        <c:manualLayout>
          <c:xMode val="edge"/>
          <c:yMode val="edge"/>
          <c:x val="0.21372900262467193"/>
          <c:y val="4.0645960921551476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Hoja6!$B$3</c:f>
              <c:strCache>
                <c:ptCount val="1"/>
                <c:pt idx="0">
                  <c:v>Total</c:v>
                </c:pt>
              </c:strCache>
            </c:strRef>
          </c:tx>
          <c:spPr>
            <a:solidFill>
              <a:schemeClr val="accent1"/>
            </a:solidFill>
            <a:ln>
              <a:noFill/>
            </a:ln>
            <a:effectLst/>
          </c:spPr>
          <c:invertIfNegative val="0"/>
          <c:cat>
            <c:strRef>
              <c:f>Hoja6!$A$4:$A$11</c:f>
              <c:strCache>
                <c:ptCount val="8"/>
                <c:pt idx="0">
                  <c:v>a</c:v>
                </c:pt>
                <c:pt idx="1">
                  <c:v>b</c:v>
                </c:pt>
                <c:pt idx="2">
                  <c:v>c</c:v>
                </c:pt>
                <c:pt idx="3">
                  <c:v>d</c:v>
                </c:pt>
                <c:pt idx="4">
                  <c:v>e</c:v>
                </c:pt>
                <c:pt idx="5">
                  <c:v>f</c:v>
                </c:pt>
                <c:pt idx="6">
                  <c:v>g</c:v>
                </c:pt>
                <c:pt idx="7">
                  <c:v>h</c:v>
                </c:pt>
              </c:strCache>
            </c:strRef>
          </c:cat>
          <c:val>
            <c:numRef>
              <c:f>Hoja6!$B$4:$B$11</c:f>
              <c:numCache>
                <c:formatCode>General</c:formatCode>
                <c:ptCount val="8"/>
                <c:pt idx="0">
                  <c:v>1</c:v>
                </c:pt>
                <c:pt idx="1">
                  <c:v>7</c:v>
                </c:pt>
                <c:pt idx="2">
                  <c:v>2</c:v>
                </c:pt>
                <c:pt idx="3">
                  <c:v>7</c:v>
                </c:pt>
                <c:pt idx="4">
                  <c:v>11</c:v>
                </c:pt>
                <c:pt idx="5">
                  <c:v>14</c:v>
                </c:pt>
                <c:pt idx="6">
                  <c:v>5</c:v>
                </c:pt>
                <c:pt idx="7">
                  <c:v>2</c:v>
                </c:pt>
              </c:numCache>
            </c:numRef>
          </c:val>
          <c:extLst>
            <c:ext xmlns:c16="http://schemas.microsoft.com/office/drawing/2014/chart" uri="{C3380CC4-5D6E-409C-BE32-E72D297353CC}">
              <c16:uniqueId val="{00000000-35FA-4BC8-8096-344A15435E74}"/>
            </c:ext>
          </c:extLst>
        </c:ser>
        <c:dLbls>
          <c:showLegendKey val="0"/>
          <c:showVal val="0"/>
          <c:showCatName val="0"/>
          <c:showSerName val="0"/>
          <c:showPercent val="0"/>
          <c:showBubbleSize val="0"/>
        </c:dLbls>
        <c:gapWidth val="219"/>
        <c:overlap val="-27"/>
        <c:axId val="424202656"/>
        <c:axId val="424203048"/>
      </c:barChart>
      <c:catAx>
        <c:axId val="424202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24203048"/>
        <c:crosses val="autoZero"/>
        <c:auto val="1"/>
        <c:lblAlgn val="ctr"/>
        <c:lblOffset val="100"/>
        <c:noMultiLvlLbl val="0"/>
      </c:catAx>
      <c:valAx>
        <c:axId val="4242030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4242026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[Mooc-en-Colombia.xlsx]Hoja7!TablaDinámica57</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s-CO"/>
              <a:t>Cursos por Universidades</a:t>
            </a:r>
          </a:p>
        </c:rich>
      </c:tx>
      <c:layout>
        <c:manualLayout>
          <c:xMode val="edge"/>
          <c:yMode val="edge"/>
          <c:x val="0.22814110186286171"/>
          <c:y val="3.6314660320739306E-3"/>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s-CO"/>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pivotFmt>
      <c:pivotFmt>
        <c:idx val="2"/>
        <c:spPr>
          <a:solidFill>
            <a:schemeClr val="accent3">
              <a:lumMod val="60000"/>
            </a:schemeClr>
          </a:solidFill>
          <a:ln>
            <a:noFill/>
          </a:ln>
          <a:effectLst>
            <a:outerShdw blurRad="254000" sx="102000" sy="102000" algn="ctr" rotWithShape="0">
              <a:prstClr val="black">
                <a:alpha val="20000"/>
              </a:prstClr>
            </a:outerShdw>
          </a:effectLst>
        </c:spPr>
      </c:pivotFmt>
      <c:pivotFmt>
        <c:idx val="3"/>
        <c:spPr>
          <a:solidFill>
            <a:schemeClr val="accent2">
              <a:lumMod val="60000"/>
            </a:schemeClr>
          </a:solidFill>
          <a:ln>
            <a:noFill/>
          </a:ln>
          <a:effectLst>
            <a:outerShdw blurRad="254000" sx="102000" sy="102000" algn="ctr" rotWithShape="0">
              <a:prstClr val="black">
                <a:alpha val="20000"/>
              </a:prstClr>
            </a:outerShdw>
          </a:effectLst>
        </c:spPr>
      </c:pivotFmt>
      <c:pivotFmt>
        <c:idx val="4"/>
        <c:spPr>
          <a:solidFill>
            <a:schemeClr val="accent1">
              <a:lumMod val="60000"/>
            </a:schemeClr>
          </a:solidFill>
          <a:ln>
            <a:noFill/>
          </a:ln>
          <a:effectLst>
            <a:outerShdw blurRad="254000" sx="102000" sy="102000" algn="ctr" rotWithShape="0">
              <a:prstClr val="black">
                <a:alpha val="20000"/>
              </a:prstClr>
            </a:outerShdw>
          </a:effectLst>
        </c:spPr>
        <c:dLbl>
          <c:idx val="0"/>
          <c:spPr>
            <a:solidFill>
              <a:sysClr val="window" lastClr="FFFFFF"/>
            </a:solid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showLegendKey val="1"/>
          <c:showVal val="1"/>
          <c:showCatName val="1"/>
          <c:showSerName val="1"/>
          <c:showPercent val="1"/>
          <c:showBubbleSize val="1"/>
          <c:extLst>
            <c:ext xmlns:c15="http://schemas.microsoft.com/office/drawing/2012/chart" uri="{CE6537A1-D6FC-4f65-9D91-7224C49458BB}"/>
          </c:extLst>
        </c:dLbl>
      </c:pivotFmt>
      <c:pivotFmt>
        <c:idx val="5"/>
        <c:spPr>
          <a:solidFill>
            <a:schemeClr val="accent6"/>
          </a:solidFill>
          <a:ln>
            <a:noFill/>
          </a:ln>
          <a:effectLst>
            <a:outerShdw blurRad="254000" sx="102000" sy="102000" algn="ctr" rotWithShape="0">
              <a:prstClr val="black">
                <a:alpha val="20000"/>
              </a:prstClr>
            </a:outerShdw>
          </a:effectLst>
        </c:spPr>
      </c:pivotFmt>
      <c:pivotFmt>
        <c:idx val="6"/>
        <c:spPr>
          <a:solidFill>
            <a:schemeClr val="accent4"/>
          </a:solidFill>
          <a:ln>
            <a:noFill/>
          </a:ln>
          <a:effectLst>
            <a:outerShdw blurRad="254000" sx="102000" sy="102000" algn="ctr" rotWithShape="0">
              <a:prstClr val="black">
                <a:alpha val="20000"/>
              </a:prstClr>
            </a:outerShdw>
          </a:effectLst>
        </c:spPr>
      </c:pivotFmt>
      <c:pivotFmt>
        <c:idx val="7"/>
        <c:spPr>
          <a:solidFill>
            <a:schemeClr val="accent3"/>
          </a:solidFill>
          <a:ln>
            <a:noFill/>
          </a:ln>
          <a:effectLst>
            <a:outerShdw blurRad="254000" sx="102000" sy="102000" algn="ctr" rotWithShape="0">
              <a:prstClr val="black">
                <a:alpha val="20000"/>
              </a:prstClr>
            </a:outerShdw>
          </a:effectLst>
        </c:spPr>
      </c:pivotFmt>
      <c:pivotFmt>
        <c:idx val="8"/>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9"/>
        <c:spPr>
          <a:solidFill>
            <a:schemeClr val="accent1"/>
          </a:solidFill>
          <a:ln>
            <a:noFill/>
          </a:ln>
          <a:effectLst>
            <a:outerShdw blurRad="254000" sx="102000" sy="102000" algn="ctr" rotWithShape="0">
              <a:prstClr val="black">
                <a:alpha val="20000"/>
              </a:prstClr>
            </a:outerShdw>
          </a:effectLst>
        </c:spPr>
      </c:pivotFmt>
      <c:pivotFmt>
        <c:idx val="10"/>
        <c:spPr>
          <a:solidFill>
            <a:schemeClr val="accent1"/>
          </a:solidFill>
          <a:ln>
            <a:noFill/>
          </a:ln>
          <a:effectLst>
            <a:outerShdw blurRad="254000" sx="102000" sy="102000" algn="ctr" rotWithShape="0">
              <a:prstClr val="black">
                <a:alpha val="20000"/>
              </a:prstClr>
            </a:outerShdw>
          </a:effectLst>
        </c:spPr>
      </c:pivotFmt>
      <c:pivotFmt>
        <c:idx val="11"/>
        <c:spPr>
          <a:solidFill>
            <a:schemeClr val="accent1"/>
          </a:solidFill>
          <a:ln>
            <a:noFill/>
          </a:ln>
          <a:effectLst>
            <a:outerShdw blurRad="254000" sx="102000" sy="102000" algn="ctr" rotWithShape="0">
              <a:prstClr val="black">
                <a:alpha val="20000"/>
              </a:prstClr>
            </a:outerShdw>
          </a:effectLst>
        </c:spPr>
      </c:pivotFmt>
      <c:pivotFmt>
        <c:idx val="12"/>
        <c:spPr>
          <a:solidFill>
            <a:schemeClr val="accent1"/>
          </a:solidFill>
          <a:ln>
            <a:noFill/>
          </a:ln>
          <a:effectLst>
            <a:outerShdw blurRad="254000" sx="102000" sy="102000" algn="ctr" rotWithShape="0">
              <a:prstClr val="black">
                <a:alpha val="20000"/>
              </a:prstClr>
            </a:outerShdw>
          </a:effectLst>
        </c:spPr>
      </c:pivotFmt>
      <c:pivotFmt>
        <c:idx val="13"/>
        <c:spPr>
          <a:solidFill>
            <a:schemeClr val="accent1"/>
          </a:solidFill>
          <a:ln>
            <a:noFill/>
          </a:ln>
          <a:effectLst>
            <a:outerShdw blurRad="254000" sx="102000" sy="102000" algn="ctr" rotWithShape="0">
              <a:prstClr val="black">
                <a:alpha val="20000"/>
              </a:prstClr>
            </a:outerShdw>
          </a:effectLst>
        </c:spPr>
      </c:pivotFmt>
      <c:pivotFmt>
        <c:idx val="14"/>
        <c:spPr>
          <a:solidFill>
            <a:schemeClr val="accent1"/>
          </a:solidFill>
          <a:ln>
            <a:noFill/>
          </a:ln>
          <a:effectLst>
            <a:outerShdw blurRad="254000" sx="102000" sy="102000" algn="ctr" rotWithShape="0">
              <a:prstClr val="black">
                <a:alpha val="20000"/>
              </a:prstClr>
            </a:outerShdw>
          </a:effectLst>
        </c:spPr>
      </c:pivotFmt>
      <c:pivotFmt>
        <c:idx val="15"/>
        <c:spPr>
          <a:solidFill>
            <a:schemeClr val="accent1"/>
          </a:solidFill>
          <a:ln>
            <a:noFill/>
          </a:ln>
          <a:effectLst>
            <a:outerShdw blurRad="254000" sx="102000" sy="102000" algn="ctr" rotWithShape="0">
              <a:prstClr val="black">
                <a:alpha val="20000"/>
              </a:prstClr>
            </a:outerShdw>
          </a:effectLst>
        </c:spPr>
      </c:pivotFmt>
      <c:pivotFmt>
        <c:idx val="16"/>
        <c:spPr>
          <a:solidFill>
            <a:schemeClr val="accent1"/>
          </a:solidFill>
          <a:ln>
            <a:noFill/>
          </a:ln>
          <a:effectLst>
            <a:outerShdw blurRad="254000" sx="102000" sy="102000" algn="ctr" rotWithShape="0">
              <a:prstClr val="black">
                <a:alpha val="20000"/>
              </a:prstClr>
            </a:outerShdw>
          </a:effectLst>
        </c:spPr>
      </c:pivotFmt>
      <c:pivotFmt>
        <c:idx val="17"/>
        <c:spPr>
          <a:solidFill>
            <a:schemeClr val="accent1"/>
          </a:solidFill>
          <a:ln>
            <a:noFill/>
          </a:ln>
          <a:effectLst>
            <a:outerShdw blurRad="254000" sx="102000" sy="102000" algn="ctr" rotWithShape="0">
              <a:prstClr val="black">
                <a:alpha val="20000"/>
              </a:prstClr>
            </a:outerShdw>
          </a:effectLst>
        </c:spPr>
      </c:pivotFmt>
      <c:pivotFmt>
        <c:idx val="18"/>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bestFit"/>
          <c:showLegendKey val="0"/>
          <c:showVal val="0"/>
          <c:showCatName val="0"/>
          <c:showSerName val="0"/>
          <c:showPercent val="1"/>
          <c:showBubbleSize val="0"/>
          <c:extLst>
            <c:ext xmlns:c15="http://schemas.microsoft.com/office/drawing/2012/chart" uri="{CE6537A1-D6FC-4f65-9D91-7224C49458BB}"/>
          </c:extLst>
        </c:dLbl>
      </c:pivotFmt>
      <c:pivotFmt>
        <c:idx val="19"/>
        <c:spPr>
          <a:solidFill>
            <a:schemeClr val="accent1"/>
          </a:solidFill>
          <a:ln>
            <a:noFill/>
          </a:ln>
          <a:effectLst>
            <a:outerShdw blurRad="254000" sx="102000" sy="102000" algn="ctr" rotWithShape="0">
              <a:prstClr val="black">
                <a:alpha val="20000"/>
              </a:prstClr>
            </a:outerShdw>
          </a:effectLst>
        </c:spPr>
      </c:pivotFmt>
      <c:pivotFmt>
        <c:idx val="20"/>
        <c:spPr>
          <a:solidFill>
            <a:schemeClr val="accent1"/>
          </a:solidFill>
          <a:ln>
            <a:noFill/>
          </a:ln>
          <a:effectLst>
            <a:outerShdw blurRad="254000" sx="102000" sy="102000" algn="ctr" rotWithShape="0">
              <a:prstClr val="black">
                <a:alpha val="20000"/>
              </a:prstClr>
            </a:outerShdw>
          </a:effectLst>
        </c:spPr>
      </c:pivotFmt>
      <c:pivotFmt>
        <c:idx val="21"/>
        <c:spPr>
          <a:solidFill>
            <a:schemeClr val="accent1"/>
          </a:solidFill>
          <a:ln>
            <a:noFill/>
          </a:ln>
          <a:effectLst>
            <a:outerShdw blurRad="254000" sx="102000" sy="102000" algn="ctr" rotWithShape="0">
              <a:prstClr val="black">
                <a:alpha val="20000"/>
              </a:prstClr>
            </a:outerShdw>
          </a:effectLst>
        </c:spPr>
      </c:pivotFmt>
      <c:pivotFmt>
        <c:idx val="22"/>
        <c:spPr>
          <a:solidFill>
            <a:schemeClr val="accent1"/>
          </a:solidFill>
          <a:ln>
            <a:noFill/>
          </a:ln>
          <a:effectLst>
            <a:outerShdw blurRad="254000" sx="102000" sy="102000" algn="ctr" rotWithShape="0">
              <a:prstClr val="black">
                <a:alpha val="20000"/>
              </a:prstClr>
            </a:outerShdw>
          </a:effectLst>
        </c:spPr>
      </c:pivotFmt>
      <c:pivotFmt>
        <c:idx val="23"/>
        <c:spPr>
          <a:solidFill>
            <a:schemeClr val="accent1"/>
          </a:solidFill>
          <a:ln>
            <a:noFill/>
          </a:ln>
          <a:effectLst>
            <a:outerShdw blurRad="254000" sx="102000" sy="102000" algn="ctr" rotWithShape="0">
              <a:prstClr val="black">
                <a:alpha val="20000"/>
              </a:prstClr>
            </a:outerShdw>
          </a:effectLst>
        </c:spPr>
      </c:pivotFmt>
      <c:pivotFmt>
        <c:idx val="24"/>
        <c:spPr>
          <a:solidFill>
            <a:schemeClr val="accent1"/>
          </a:solidFill>
          <a:ln>
            <a:noFill/>
          </a:ln>
          <a:effectLst>
            <a:outerShdw blurRad="254000" sx="102000" sy="102000" algn="ctr" rotWithShape="0">
              <a:prstClr val="black">
                <a:alpha val="20000"/>
              </a:prstClr>
            </a:outerShdw>
          </a:effectLst>
        </c:spPr>
      </c:pivotFmt>
      <c:pivotFmt>
        <c:idx val="25"/>
        <c:spPr>
          <a:solidFill>
            <a:schemeClr val="accent1"/>
          </a:solidFill>
          <a:ln>
            <a:noFill/>
          </a:ln>
          <a:effectLst>
            <a:outerShdw blurRad="254000" sx="102000" sy="102000" algn="ctr" rotWithShape="0">
              <a:prstClr val="black">
                <a:alpha val="20000"/>
              </a:prstClr>
            </a:outerShdw>
          </a:effectLst>
        </c:spPr>
      </c:pivotFmt>
      <c:pivotFmt>
        <c:idx val="26"/>
        <c:spPr>
          <a:solidFill>
            <a:schemeClr val="accent1"/>
          </a:solidFill>
          <a:ln>
            <a:noFill/>
          </a:ln>
          <a:effectLst>
            <a:outerShdw blurRad="254000" sx="102000" sy="102000" algn="ctr" rotWithShape="0">
              <a:prstClr val="black">
                <a:alpha val="20000"/>
              </a:prstClr>
            </a:outerShdw>
          </a:effectLst>
        </c:spPr>
      </c:pivotFmt>
      <c:pivotFmt>
        <c:idx val="27"/>
        <c:spPr>
          <a:solidFill>
            <a:schemeClr val="accent1"/>
          </a:solidFill>
          <a:ln>
            <a:noFill/>
          </a:ln>
          <a:effectLst>
            <a:outerShdw blurRad="254000" sx="102000" sy="102000" algn="ctr" rotWithShape="0">
              <a:prstClr val="black">
                <a:alpha val="20000"/>
              </a:prstClr>
            </a:outerShdw>
          </a:effectLst>
        </c:spPr>
      </c:pivotFmt>
    </c:pivotFmts>
    <c:plotArea>
      <c:layout>
        <c:manualLayout>
          <c:layoutTarget val="inner"/>
          <c:xMode val="edge"/>
          <c:yMode val="edge"/>
          <c:x val="0.11002908754052802"/>
          <c:y val="6.6361524953265735E-2"/>
          <c:w val="0.5035222479542999"/>
          <c:h val="0.93363847504673425"/>
        </c:manualLayout>
      </c:layout>
      <c:pieChart>
        <c:varyColors val="1"/>
        <c:ser>
          <c:idx val="0"/>
          <c:order val="0"/>
          <c:tx>
            <c:strRef>
              <c:f>Hoja7!$B$3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0FE-4386-BF4A-366DBF8A634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0FE-4386-BF4A-366DBF8A634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0FE-4386-BF4A-366DBF8A634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0FE-4386-BF4A-366DBF8A634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0FE-4386-BF4A-366DBF8A634D}"/>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E0FE-4386-BF4A-366DBF8A634D}"/>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E0FE-4386-BF4A-366DBF8A634D}"/>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E0FE-4386-BF4A-366DBF8A634D}"/>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E0FE-4386-BF4A-366DBF8A634D}"/>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s-CO"/>
              </a:p>
            </c:txPr>
            <c:dLblPos val="bestFit"/>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Hoja7!$A$4:$A$12</c:f>
              <c:strCache>
                <c:ptCount val="9"/>
                <c:pt idx="0">
                  <c:v>Corporación Universitaria Minuto de Dios</c:v>
                </c:pt>
                <c:pt idx="1">
                  <c:v>Pontificia Universidad Javeriana</c:v>
                </c:pt>
                <c:pt idx="2">
                  <c:v>Universidad Autónoma de Occidente</c:v>
                </c:pt>
                <c:pt idx="3">
                  <c:v>Universidad de Ibagué</c:v>
                </c:pt>
                <c:pt idx="4">
                  <c:v>Universidad de los Andes</c:v>
                </c:pt>
                <c:pt idx="5">
                  <c:v>Universidad del Rosario</c:v>
                </c:pt>
                <c:pt idx="6">
                  <c:v>Universidad EAFIT</c:v>
                </c:pt>
                <c:pt idx="7">
                  <c:v>Universidad El Bosque</c:v>
                </c:pt>
                <c:pt idx="8">
                  <c:v>Universidad Tecnológica de Pereira</c:v>
                </c:pt>
              </c:strCache>
            </c:strRef>
          </c:cat>
          <c:val>
            <c:numRef>
              <c:f>Hoja7!$B$4:$B$12</c:f>
              <c:numCache>
                <c:formatCode>General</c:formatCode>
                <c:ptCount val="9"/>
                <c:pt idx="0">
                  <c:v>2</c:v>
                </c:pt>
                <c:pt idx="1">
                  <c:v>16</c:v>
                </c:pt>
                <c:pt idx="2">
                  <c:v>1</c:v>
                </c:pt>
                <c:pt idx="3">
                  <c:v>1</c:v>
                </c:pt>
                <c:pt idx="4">
                  <c:v>25</c:v>
                </c:pt>
                <c:pt idx="5">
                  <c:v>1</c:v>
                </c:pt>
                <c:pt idx="6">
                  <c:v>1</c:v>
                </c:pt>
                <c:pt idx="7">
                  <c:v>1</c:v>
                </c:pt>
                <c:pt idx="8">
                  <c:v>1</c:v>
                </c:pt>
              </c:numCache>
            </c:numRef>
          </c:val>
          <c:extLst>
            <c:ext xmlns:c16="http://schemas.microsoft.com/office/drawing/2014/chart" uri="{C3380CC4-5D6E-409C-BE32-E72D297353CC}">
              <c16:uniqueId val="{00000012-E0FE-4386-BF4A-366DBF8A634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3405810926611583"/>
          <c:y val="8.8529592964866552E-2"/>
          <c:w val="0.36594189073388411"/>
          <c:h val="0.88145968892152149"/>
        </c:manualLayout>
      </c:layout>
      <c:overlay val="1"/>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s-CO"/>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s-CO"/>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0F5A6-74C7-4977-9E6E-5367B8C41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5535</Words>
  <Characters>30444</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R-acofi</dc:creator>
  <cp:lastModifiedBy>Claudia</cp:lastModifiedBy>
  <cp:revision>3</cp:revision>
  <cp:lastPrinted>2017-06-22T01:22:00Z</cp:lastPrinted>
  <dcterms:created xsi:type="dcterms:W3CDTF">2017-06-22T01:18:00Z</dcterms:created>
  <dcterms:modified xsi:type="dcterms:W3CDTF">2017-06-22T01:30:00Z</dcterms:modified>
</cp:coreProperties>
</file>